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F7D" w:rsidRDefault="00FA2DFB">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FIFTY (OR MORE) WAYS TO SHOW (S)HE’S MORE THAN A LOVER: </w:t>
      </w:r>
    </w:p>
    <w:p w:rsidR="00E32F7D" w:rsidRDefault="00FA2DFB">
      <w:pPr>
        <w:jc w:val="center"/>
        <w:rPr>
          <w:rFonts w:ascii="Times New Roman" w:hAnsi="Times New Roman" w:cs="Times New Roman"/>
          <w:sz w:val="24"/>
          <w:szCs w:val="24"/>
          <w:u w:val="single"/>
        </w:rPr>
      </w:pPr>
      <w:r>
        <w:rPr>
          <w:rFonts w:ascii="Times New Roman" w:hAnsi="Times New Roman" w:cs="Times New Roman"/>
          <w:sz w:val="24"/>
          <w:szCs w:val="24"/>
          <w:u w:val="single"/>
        </w:rPr>
        <w:t>FACTS TO PROVE COHABITATION</w:t>
      </w:r>
    </w:p>
    <w:p w:rsidR="00E32F7D" w:rsidRDefault="00FA2DFB">
      <w:pPr>
        <w:jc w:val="center"/>
        <w:rPr>
          <w:rFonts w:ascii="Times New Roman" w:hAnsi="Times New Roman" w:cs="Times New Roman"/>
          <w:sz w:val="24"/>
          <w:szCs w:val="24"/>
        </w:rPr>
      </w:pPr>
      <w:r>
        <w:rPr>
          <w:rFonts w:ascii="Times New Roman" w:hAnsi="Times New Roman" w:cs="Times New Roman"/>
          <w:sz w:val="24"/>
          <w:szCs w:val="24"/>
        </w:rPr>
        <w:t>By: Jeralyn Lawrence* and Marie E. Lihotz**</w:t>
      </w:r>
    </w:p>
    <w:p w:rsidR="00E32F7D" w:rsidRDefault="00FA2DFB" w:rsidP="00CA03F3">
      <w:pPr>
        <w:ind w:firstLine="720"/>
        <w:jc w:val="both"/>
        <w:rPr>
          <w:rFonts w:ascii="Times New Roman" w:hAnsi="Times New Roman" w:cs="Times New Roman"/>
          <w:sz w:val="24"/>
          <w:szCs w:val="24"/>
        </w:rPr>
      </w:pPr>
      <w:r>
        <w:rPr>
          <w:rFonts w:ascii="Times New Roman" w:hAnsi="Times New Roman" w:cs="Times New Roman"/>
          <w:sz w:val="24"/>
          <w:szCs w:val="24"/>
        </w:rPr>
        <w:t xml:space="preserve">For more than forty-five years, New Jersey courts recognized a recipient’s cohabitation impacts alimony.  </w:t>
      </w:r>
      <w:r>
        <w:rPr>
          <w:rFonts w:ascii="Times New Roman" w:hAnsi="Times New Roman" w:cs="Times New Roman"/>
          <w:sz w:val="24"/>
          <w:szCs w:val="24"/>
          <w:u w:val="single"/>
        </w:rPr>
        <w:t>See</w:t>
      </w:r>
      <w:r>
        <w:rPr>
          <w:rFonts w:ascii="Times New Roman" w:hAnsi="Times New Roman" w:cs="Times New Roman"/>
          <w:sz w:val="24"/>
          <w:szCs w:val="24"/>
        </w:rPr>
        <w:t xml:space="preserve"> </w:t>
      </w:r>
      <w:r>
        <w:rPr>
          <w:rFonts w:ascii="Times New Roman" w:hAnsi="Times New Roman" w:cs="Times New Roman"/>
          <w:sz w:val="24"/>
          <w:szCs w:val="24"/>
          <w:u w:val="single"/>
        </w:rPr>
        <w:t>Garlinger v. Garlinger</w:t>
      </w:r>
      <w:r>
        <w:rPr>
          <w:rFonts w:ascii="Times New Roman" w:hAnsi="Times New Roman" w:cs="Times New Roman"/>
          <w:sz w:val="24"/>
          <w:szCs w:val="24"/>
        </w:rPr>
        <w:t xml:space="preserve"> 129 N.J. Super. 47 (Ch. Div. 1974); </w:t>
      </w:r>
      <w:r>
        <w:rPr>
          <w:rFonts w:ascii="Times New Roman" w:hAnsi="Times New Roman" w:cs="Times New Roman"/>
          <w:sz w:val="24"/>
          <w:szCs w:val="24"/>
          <w:u w:val="single"/>
        </w:rPr>
        <w:t>Grossman v. Grossman,</w:t>
      </w:r>
      <w:r>
        <w:rPr>
          <w:rFonts w:ascii="Times New Roman" w:hAnsi="Times New Roman" w:cs="Times New Roman"/>
          <w:sz w:val="24"/>
          <w:szCs w:val="24"/>
        </w:rPr>
        <w:t xml:space="preserve"> 128 N.J. Super. 193 (Ch. Div. 1974).  The Appellate Division reco</w:t>
      </w:r>
      <w:r>
        <w:rPr>
          <w:rFonts w:ascii="Times New Roman" w:hAnsi="Times New Roman" w:cs="Times New Roman"/>
          <w:sz w:val="24"/>
          <w:szCs w:val="24"/>
        </w:rPr>
        <w:t xml:space="preserve">nciled the divergent approaches taken by the trial judges in these two cases, accepting that cohabitation could result in modification of alimony.  </w:t>
      </w:r>
      <w:r>
        <w:rPr>
          <w:rFonts w:ascii="Times New Roman" w:hAnsi="Times New Roman" w:cs="Times New Roman"/>
          <w:sz w:val="24"/>
          <w:szCs w:val="24"/>
          <w:u w:val="single"/>
        </w:rPr>
        <w:t>Garlinger v. Garlinger</w:t>
      </w:r>
      <w:r>
        <w:rPr>
          <w:rFonts w:ascii="Times New Roman" w:hAnsi="Times New Roman" w:cs="Times New Roman"/>
          <w:sz w:val="24"/>
          <w:szCs w:val="24"/>
        </w:rPr>
        <w:t xml:space="preserve">,137 N.J. Super 56 (App. Div. 1975).  </w:t>
      </w:r>
      <w:r>
        <w:rPr>
          <w:rFonts w:ascii="Times New Roman" w:hAnsi="Times New Roman" w:cs="Times New Roman"/>
          <w:sz w:val="24"/>
          <w:szCs w:val="24"/>
          <w:u w:val="single"/>
        </w:rPr>
        <w:t>See also</w:t>
      </w:r>
      <w:r>
        <w:rPr>
          <w:rFonts w:ascii="Times New Roman" w:hAnsi="Times New Roman" w:cs="Times New Roman"/>
          <w:sz w:val="24"/>
          <w:szCs w:val="24"/>
        </w:rPr>
        <w:t xml:space="preserve"> </w:t>
      </w:r>
      <w:r>
        <w:rPr>
          <w:rFonts w:ascii="Times New Roman" w:hAnsi="Times New Roman" w:cs="Times New Roman"/>
          <w:sz w:val="24"/>
          <w:szCs w:val="24"/>
          <w:u w:val="single"/>
        </w:rPr>
        <w:t>Wertlake v. Wertlake</w:t>
      </w:r>
      <w:r>
        <w:rPr>
          <w:rFonts w:ascii="Times New Roman" w:hAnsi="Times New Roman" w:cs="Times New Roman"/>
          <w:sz w:val="24"/>
          <w:szCs w:val="24"/>
        </w:rPr>
        <w:t>, 137 N.J. Super. 4</w:t>
      </w:r>
      <w:r>
        <w:rPr>
          <w:rFonts w:ascii="Times New Roman" w:hAnsi="Times New Roman" w:cs="Times New Roman"/>
          <w:sz w:val="24"/>
          <w:szCs w:val="24"/>
        </w:rPr>
        <w:t xml:space="preserve">76 (App. Div. 1975); </w:t>
      </w:r>
      <w:r>
        <w:rPr>
          <w:rFonts w:ascii="Times New Roman" w:hAnsi="Times New Roman" w:cs="Times New Roman"/>
          <w:sz w:val="24"/>
          <w:szCs w:val="24"/>
          <w:u w:val="single"/>
        </w:rPr>
        <w:t>Eames v. Eames</w:t>
      </w:r>
      <w:r>
        <w:rPr>
          <w:rFonts w:ascii="Times New Roman" w:hAnsi="Times New Roman" w:cs="Times New Roman"/>
          <w:sz w:val="24"/>
          <w:szCs w:val="24"/>
        </w:rPr>
        <w:t>, 153 N.J. Super. 99 (Ch. Div. 1976).</w:t>
      </w:r>
    </w:p>
    <w:p w:rsidR="00E32F7D" w:rsidRDefault="00FA2DFB" w:rsidP="00CA03F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New Jersey Supreme Court included cohabitation as a judicially recognized change of circumstances warranting review of an alimony award in </w:t>
      </w:r>
      <w:r>
        <w:rPr>
          <w:rFonts w:ascii="Times New Roman" w:hAnsi="Times New Roman" w:cs="Times New Roman"/>
          <w:sz w:val="24"/>
          <w:szCs w:val="24"/>
          <w:u w:val="single"/>
        </w:rPr>
        <w:t>Lepis v. Lepis</w:t>
      </w:r>
      <w:r>
        <w:rPr>
          <w:rFonts w:ascii="Times New Roman" w:hAnsi="Times New Roman" w:cs="Times New Roman"/>
          <w:sz w:val="24"/>
          <w:szCs w:val="24"/>
        </w:rPr>
        <w:t xml:space="preserve">, 83 </w:t>
      </w:r>
      <w:r>
        <w:rPr>
          <w:rFonts w:ascii="Times New Roman" w:hAnsi="Times New Roman" w:cs="Times New Roman"/>
          <w:sz w:val="24"/>
          <w:szCs w:val="24"/>
          <w:u w:val="single"/>
        </w:rPr>
        <w:t>N.J.</w:t>
      </w:r>
      <w:r>
        <w:rPr>
          <w:rFonts w:ascii="Times New Roman" w:hAnsi="Times New Roman" w:cs="Times New Roman"/>
          <w:sz w:val="24"/>
          <w:szCs w:val="24"/>
        </w:rPr>
        <w:t xml:space="preserve"> 139, 145, 151 (1</w:t>
      </w:r>
      <w:r>
        <w:rPr>
          <w:rFonts w:ascii="Times New Roman" w:hAnsi="Times New Roman" w:cs="Times New Roman"/>
          <w:sz w:val="24"/>
          <w:szCs w:val="24"/>
        </w:rPr>
        <w:t>980)</w:t>
      </w:r>
      <w:r>
        <w:rPr>
          <w:rFonts w:ascii="Times New Roman" w:hAnsi="Times New Roman" w:cs="Times New Roman"/>
          <w:sz w:val="24"/>
          <w:szCs w:val="24"/>
        </w:rPr>
        <w:t xml:space="preserve">.  Next, </w:t>
      </w:r>
      <w:r>
        <w:rPr>
          <w:rFonts w:ascii="Times New Roman" w:hAnsi="Times New Roman" w:cs="Times New Roman"/>
          <w:sz w:val="24"/>
          <w:szCs w:val="24"/>
        </w:rPr>
        <w:t xml:space="preserve">the Court, </w:t>
      </w:r>
      <w:r>
        <w:rPr>
          <w:rFonts w:ascii="Times New Roman" w:hAnsi="Times New Roman" w:cs="Times New Roman"/>
          <w:sz w:val="24"/>
          <w:szCs w:val="24"/>
        </w:rPr>
        <w:t xml:space="preserve"> </w:t>
      </w:r>
      <w:r>
        <w:rPr>
          <w:rFonts w:ascii="Times New Roman" w:hAnsi="Times New Roman"/>
          <w:sz w:val="24"/>
          <w:szCs w:val="24"/>
        </w:rPr>
        <w:t xml:space="preserve">squarely addressed the issue in </w:t>
      </w:r>
      <w:r>
        <w:rPr>
          <w:rFonts w:ascii="Times New Roman" w:hAnsi="Times New Roman"/>
          <w:sz w:val="24"/>
          <w:szCs w:val="24"/>
          <w:u w:val="single"/>
        </w:rPr>
        <w:t>Gayet v. Gayet</w:t>
      </w:r>
      <w:r>
        <w:rPr>
          <w:rFonts w:ascii="Times New Roman" w:hAnsi="Times New Roman"/>
          <w:sz w:val="24"/>
          <w:szCs w:val="24"/>
        </w:rPr>
        <w:t xml:space="preserve">, 92 </w:t>
      </w:r>
      <w:r>
        <w:rPr>
          <w:rFonts w:ascii="Times New Roman" w:hAnsi="Times New Roman"/>
          <w:sz w:val="24"/>
          <w:szCs w:val="24"/>
          <w:u w:val="single"/>
        </w:rPr>
        <w:t>N.J.</w:t>
      </w:r>
      <w:r>
        <w:rPr>
          <w:rFonts w:ascii="Times New Roman" w:hAnsi="Times New Roman"/>
          <w:sz w:val="24"/>
          <w:szCs w:val="24"/>
        </w:rPr>
        <w:t xml:space="preserve"> 149 (1983), which held </w:t>
      </w:r>
      <w:r>
        <w:rPr>
          <w:rFonts w:ascii="Times New Roman" w:hAnsi="Times New Roman" w:cs="Times New Roman"/>
          <w:sz w:val="24"/>
          <w:szCs w:val="24"/>
        </w:rPr>
        <w:t>cohabitation by divorced spouse constitutes changed circumstances justifying discovery and hearing, but the test for modification of alimon</w:t>
      </w:r>
      <w:r>
        <w:rPr>
          <w:rFonts w:ascii="Times New Roman" w:hAnsi="Times New Roman" w:cs="Times New Roman"/>
          <w:sz w:val="24"/>
          <w:szCs w:val="24"/>
        </w:rPr>
        <w:t>y remain</w:t>
      </w:r>
      <w:r>
        <w:rPr>
          <w:rFonts w:ascii="Times New Roman" w:hAnsi="Times New Roman" w:cs="Times New Roman"/>
          <w:sz w:val="24"/>
          <w:szCs w:val="24"/>
        </w:rPr>
        <w:t>ed</w:t>
      </w:r>
      <w:r w:rsidR="00CA03F3">
        <w:rPr>
          <w:rFonts w:ascii="Times New Roman" w:hAnsi="Times New Roman" w:cs="Times New Roman"/>
          <w:sz w:val="24"/>
          <w:szCs w:val="24"/>
        </w:rPr>
        <w:t xml:space="preserve"> </w:t>
      </w:r>
      <w:r>
        <w:rPr>
          <w:rFonts w:ascii="Times New Roman" w:hAnsi="Times New Roman" w:cs="Times New Roman"/>
          <w:sz w:val="24"/>
          <w:szCs w:val="24"/>
        </w:rPr>
        <w:t>whether</w:t>
      </w:r>
      <w:r>
        <w:rPr>
          <w:rFonts w:ascii="Times New Roman" w:hAnsi="Times New Roman" w:cs="Times New Roman"/>
          <w:sz w:val="24"/>
          <w:szCs w:val="24"/>
        </w:rPr>
        <w:t xml:space="preserve"> the</w:t>
      </w:r>
      <w:r>
        <w:rPr>
          <w:rFonts w:ascii="Times New Roman" w:hAnsi="Times New Roman" w:cs="Times New Roman"/>
          <w:sz w:val="24"/>
          <w:szCs w:val="24"/>
        </w:rPr>
        <w:t xml:space="preserve"> relationship</w:t>
      </w:r>
      <w:r>
        <w:rPr>
          <w:rFonts w:ascii="Times New Roman" w:hAnsi="Times New Roman" w:cs="Times New Roman"/>
          <w:sz w:val="24"/>
          <w:szCs w:val="24"/>
        </w:rPr>
        <w:t xml:space="preserve"> reduced the financial needs of dependent former spouse.  </w:t>
      </w:r>
      <w:r>
        <w:rPr>
          <w:rFonts w:ascii="Times New Roman" w:hAnsi="Times New Roman" w:cs="Times New Roman"/>
          <w:sz w:val="24"/>
          <w:szCs w:val="24"/>
          <w:u w:val="single"/>
        </w:rPr>
        <w:t>See also</w:t>
      </w:r>
      <w:r>
        <w:rPr>
          <w:rFonts w:ascii="Times New Roman" w:hAnsi="Times New Roman" w:cs="Times New Roman"/>
          <w:sz w:val="24"/>
          <w:szCs w:val="24"/>
        </w:rPr>
        <w:t xml:space="preserve"> </w:t>
      </w:r>
      <w:r>
        <w:rPr>
          <w:rFonts w:ascii="Times New Roman" w:hAnsi="Times New Roman" w:cs="Times New Roman"/>
          <w:sz w:val="24"/>
          <w:szCs w:val="24"/>
          <w:u w:val="single"/>
        </w:rPr>
        <w:t>Konzelman v. Konzelman</w:t>
      </w:r>
      <w:r>
        <w:rPr>
          <w:rFonts w:ascii="Times New Roman" w:hAnsi="Times New Roman" w:cs="Times New Roman"/>
          <w:sz w:val="24"/>
          <w:szCs w:val="24"/>
        </w:rPr>
        <w:t xml:space="preserve">, 158 N.J. 185 (1999) (enforcing marital settlement agreement terminating alimony upon proof of former spouse’s cohabitation).  </w:t>
      </w:r>
      <w:r>
        <w:rPr>
          <w:rFonts w:ascii="Times New Roman" w:hAnsi="Times New Roman" w:cs="Times New Roman"/>
          <w:sz w:val="24"/>
          <w:szCs w:val="24"/>
          <w:u w:val="single"/>
        </w:rPr>
        <w:t>See also</w:t>
      </w:r>
      <w:r>
        <w:rPr>
          <w:rFonts w:ascii="Times New Roman" w:hAnsi="Times New Roman" w:cs="Times New Roman"/>
          <w:sz w:val="24"/>
          <w:szCs w:val="24"/>
        </w:rPr>
        <w:t xml:space="preserve"> </w:t>
      </w:r>
      <w:r>
        <w:rPr>
          <w:rFonts w:ascii="Times New Roman" w:hAnsi="Times New Roman" w:cs="Times New Roman"/>
          <w:sz w:val="24"/>
          <w:szCs w:val="24"/>
          <w:u w:val="single"/>
        </w:rPr>
        <w:t>Quinn v. Quinn</w:t>
      </w:r>
      <w:r>
        <w:rPr>
          <w:rFonts w:ascii="Times New Roman" w:hAnsi="Times New Roman" w:cs="Times New Roman"/>
          <w:sz w:val="24"/>
          <w:szCs w:val="24"/>
        </w:rPr>
        <w:t>, 225 N.J. 34 (2016).</w:t>
      </w:r>
    </w:p>
    <w:p w:rsidR="00E32F7D" w:rsidRDefault="00FA2DFB" w:rsidP="00CA03F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2014, the Legislature amended </w:t>
      </w:r>
      <w:r>
        <w:rPr>
          <w:rFonts w:ascii="Times New Roman" w:hAnsi="Times New Roman"/>
          <w:sz w:val="24"/>
          <w:szCs w:val="24"/>
        </w:rPr>
        <w:t>N.J.S.A. 2A:34:23, adding subsection (n), designed</w:t>
      </w:r>
      <w:r>
        <w:rPr>
          <w:rFonts w:ascii="Times New Roman" w:hAnsi="Times New Roman"/>
          <w:sz w:val="24"/>
          <w:szCs w:val="24"/>
        </w:rPr>
        <w:t xml:space="preserve"> to provide clarity and certainty to the impact of cohabitation on existing alimony awards.  The subsection defines cohabitation and identifies factors signifying the defined relationship.  Further, the subsection includes remedies available upon proof of </w:t>
      </w:r>
      <w:r>
        <w:rPr>
          <w:rFonts w:ascii="Times New Roman" w:hAnsi="Times New Roman"/>
          <w:sz w:val="24"/>
          <w:szCs w:val="24"/>
        </w:rPr>
        <w:t xml:space="preserve">cohabitation. </w:t>
      </w:r>
      <w:r>
        <w:rPr>
          <w:rFonts w:ascii="Times New Roman" w:hAnsi="Times New Roman" w:cs="Times New Roman"/>
          <w:sz w:val="24"/>
          <w:szCs w:val="24"/>
        </w:rPr>
        <w:t xml:space="preserve"> Mirroring the </w:t>
      </w:r>
      <w:r>
        <w:rPr>
          <w:rFonts w:ascii="Times New Roman" w:eastAsia="Times New Roman" w:hAnsi="Times New Roman" w:cs="Times New Roman"/>
          <w:sz w:val="24"/>
          <w:szCs w:val="24"/>
        </w:rPr>
        <w:t xml:space="preserve">Supreme Court’s definition set forth in </w:t>
      </w:r>
      <w:r>
        <w:rPr>
          <w:rFonts w:ascii="Times New Roman" w:eastAsia="Times New Roman" w:hAnsi="Times New Roman" w:cs="Times New Roman"/>
          <w:sz w:val="24"/>
          <w:szCs w:val="24"/>
          <w:u w:val="single"/>
        </w:rPr>
        <w:t>Konzelman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t</w:t>
      </w:r>
      <w:r>
        <w:rPr>
          <w:rFonts w:ascii="Times New Roman" w:hAnsi="Times New Roman" w:cs="Times New Roman"/>
          <w:sz w:val="24"/>
          <w:szCs w:val="24"/>
        </w:rPr>
        <w:t>he statute provides:</w:t>
      </w:r>
    </w:p>
    <w:p w:rsidR="00E32F7D" w:rsidRDefault="00FA2DFB">
      <w:pPr>
        <w:spacing w:line="240" w:lineRule="auto"/>
        <w:ind w:left="1440" w:righ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Alimony may be suspended or terminated if the payee cohabits with another person.  Cohabitation involves a mutually supportive, intimate personal relation</w:t>
      </w:r>
      <w:r>
        <w:rPr>
          <w:rFonts w:ascii="Times New Roman" w:eastAsia="Times New Roman" w:hAnsi="Times New Roman" w:cs="Times New Roman"/>
          <w:sz w:val="24"/>
          <w:szCs w:val="24"/>
        </w:rPr>
        <w:t>ship in which a couple has undertaken duties and privileges that are commonly associated with marriage or civil union but does not necessarily maintain a single common household.</w:t>
      </w:r>
      <w:r>
        <w:rPr>
          <w:rFonts w:ascii="Times New Roman" w:eastAsia="Times New Roman" w:hAnsi="Times New Roman" w:cs="Times New Roman"/>
          <w:sz w:val="24"/>
          <w:szCs w:val="24"/>
          <w:vertAlign w:val="superscript"/>
        </w:rPr>
        <w:t xml:space="preserve"> </w:t>
      </w:r>
    </w:p>
    <w:p w:rsidR="00E32F7D" w:rsidRDefault="00FA2DF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 subsection (n) lists factors “a court shall consider” to discern “w</w:t>
      </w:r>
      <w:r>
        <w:rPr>
          <w:rFonts w:ascii="Times New Roman" w:eastAsia="Times New Roman" w:hAnsi="Times New Roman" w:cs="Times New Roman"/>
          <w:sz w:val="24"/>
          <w:szCs w:val="24"/>
        </w:rPr>
        <w:t xml:space="preserve">hether cohabitation is occurring,” including: </w:t>
      </w:r>
    </w:p>
    <w:p w:rsidR="00E32F7D" w:rsidRDefault="00FA2DFB">
      <w:pPr>
        <w:spacing w:line="240" w:lineRule="auto"/>
        <w:ind w:left="1440" w:righ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intertwined finances such as joint bank accounts and other joint holdings or liabilities;</w:t>
      </w:r>
    </w:p>
    <w:p w:rsidR="00E32F7D" w:rsidRDefault="00FA2DFB">
      <w:pPr>
        <w:spacing w:line="240" w:lineRule="auto"/>
        <w:ind w:left="1440" w:righ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sharing or joint responsibility for living expenses;</w:t>
      </w:r>
    </w:p>
    <w:p w:rsidR="00E32F7D" w:rsidRDefault="00FA2DFB">
      <w:pPr>
        <w:spacing w:line="240" w:lineRule="auto"/>
        <w:ind w:left="1440" w:righ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recognition of the relationship in the couple’s social</w:t>
      </w:r>
      <w:r>
        <w:rPr>
          <w:rFonts w:ascii="Times New Roman" w:eastAsia="Times New Roman" w:hAnsi="Times New Roman" w:cs="Times New Roman"/>
          <w:sz w:val="24"/>
          <w:szCs w:val="24"/>
        </w:rPr>
        <w:t xml:space="preserve"> and family circle;</w:t>
      </w:r>
    </w:p>
    <w:p w:rsidR="00E32F7D" w:rsidRDefault="00FA2DFB">
      <w:pPr>
        <w:spacing w:line="240" w:lineRule="auto"/>
        <w:ind w:left="1440" w:righ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living together, the frequency of contact, the duration of the relationship, and other indicia of a mutually supportive</w:t>
      </w:r>
      <w:r w:rsidR="00CA0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intimate personal relationship;</w:t>
      </w:r>
    </w:p>
    <w:p w:rsidR="00E32F7D" w:rsidRDefault="00FA2DFB">
      <w:pPr>
        <w:spacing w:line="240" w:lineRule="auto"/>
        <w:ind w:left="1440" w:righ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sharing household chores;</w:t>
      </w:r>
    </w:p>
    <w:p w:rsidR="00E32F7D" w:rsidRDefault="00FA2DFB">
      <w:pPr>
        <w:spacing w:line="240" w:lineRule="auto"/>
        <w:ind w:left="1440" w:righ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whether the recipient of alimony has received </w:t>
      </w:r>
      <w:r>
        <w:rPr>
          <w:rFonts w:ascii="Times New Roman" w:eastAsia="Times New Roman" w:hAnsi="Times New Roman" w:cs="Times New Roman"/>
          <w:sz w:val="24"/>
          <w:szCs w:val="24"/>
        </w:rPr>
        <w:t>an enforceable promise of support from another person within the meaning of subsection h. of [N.J.S.A.] 25:1-5; and</w:t>
      </w:r>
    </w:p>
    <w:p w:rsidR="00E32F7D" w:rsidRDefault="00FA2DFB">
      <w:pPr>
        <w:spacing w:line="240" w:lineRule="auto"/>
        <w:ind w:left="1440" w:righ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all other relevant evidence.</w:t>
      </w:r>
    </w:p>
    <w:p w:rsidR="00E32F7D" w:rsidRDefault="00FA2DFB" w:rsidP="00CA03F3">
      <w:pPr>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Some of these are emotional markers</w:t>
      </w:r>
      <w:r w:rsidR="00CA03F3">
        <w:rPr>
          <w:rFonts w:ascii="Times New Roman" w:hAnsi="Times New Roman" w:cs="Times New Roman"/>
          <w:sz w:val="24"/>
          <w:szCs w:val="24"/>
        </w:rPr>
        <w:t>,</w:t>
      </w:r>
      <w:r>
        <w:rPr>
          <w:rFonts w:ascii="Times New Roman" w:hAnsi="Times New Roman" w:cs="Times New Roman"/>
          <w:sz w:val="24"/>
          <w:szCs w:val="24"/>
        </w:rPr>
        <w:t xml:space="preserve"> others are financial.  </w:t>
      </w:r>
      <w:r>
        <w:rPr>
          <w:rFonts w:ascii="Times New Roman" w:hAnsi="Times New Roman" w:cs="Times New Roman"/>
          <w:sz w:val="24"/>
          <w:szCs w:val="24"/>
        </w:rPr>
        <w:t>The definition of cohabitation and m</w:t>
      </w:r>
      <w:r>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factors </w:t>
      </w:r>
      <w:r>
        <w:rPr>
          <w:rFonts w:ascii="Times New Roman" w:eastAsia="Times New Roman" w:hAnsi="Times New Roman" w:cs="Times New Roman"/>
          <w:sz w:val="24"/>
          <w:szCs w:val="24"/>
        </w:rPr>
        <w:t xml:space="preserve">are extracted from case precedent.  </w:t>
      </w:r>
      <w:r>
        <w:rPr>
          <w:rFonts w:ascii="Times New Roman" w:eastAsia="Times New Roman" w:hAnsi="Times New Roman" w:cs="Times New Roman"/>
          <w:sz w:val="24"/>
          <w:szCs w:val="24"/>
          <w:u w:val="single"/>
        </w:rPr>
        <w:t>See e.g.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Quinn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Konzelman</w:t>
      </w:r>
      <w:r>
        <w:rPr>
          <w:rFonts w:ascii="Times New Roman" w:hAnsi="Times New Roman"/>
          <w:sz w:val="24"/>
          <w:szCs w:val="24"/>
          <w:u w:val="single"/>
        </w:rPr>
        <w:t xml:space="preserve"> </w:t>
      </w:r>
      <w:r>
        <w:rPr>
          <w:rFonts w:ascii="Times New Roman" w:hAnsi="Times New Roman"/>
          <w:sz w:val="24"/>
          <w:szCs w:val="24"/>
        </w:rPr>
        <w:t xml:space="preserve">(defining cohabitation as “serious and lasting”; </w:t>
      </w:r>
      <w:r>
        <w:rPr>
          <w:rFonts w:ascii="Times New Roman" w:eastAsia="Times New Roman" w:hAnsi="Times New Roman" w:cs="Times New Roman"/>
          <w:sz w:val="24"/>
          <w:szCs w:val="24"/>
          <w:u w:val="single"/>
        </w:rPr>
        <w:t>Gayet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Reese v. Weis.</w:t>
      </w:r>
      <w:r>
        <w:rPr>
          <w:rFonts w:ascii="Times New Roman" w:eastAsia="Times New Roman" w:hAnsi="Times New Roman" w:cs="Times New Roman"/>
          <w:sz w:val="24"/>
          <w:szCs w:val="24"/>
          <w:vertAlign w:val="superscript"/>
        </w:rPr>
        <w:t xml:space="preserve"> </w:t>
      </w:r>
      <w:r>
        <w:rPr>
          <w:rFonts w:ascii="Times New Roman" w:hAnsi="Times New Roman"/>
          <w:sz w:val="24"/>
          <w:szCs w:val="24"/>
        </w:rPr>
        <w:t xml:space="preserve">430 </w:t>
      </w:r>
      <w:r>
        <w:rPr>
          <w:rFonts w:ascii="Times New Roman" w:hAnsi="Times New Roman"/>
          <w:sz w:val="24"/>
          <w:szCs w:val="24"/>
          <w:u w:val="single"/>
        </w:rPr>
        <w:t>N.J. Super</w:t>
      </w:r>
      <w:r>
        <w:rPr>
          <w:rFonts w:ascii="Times New Roman" w:hAnsi="Times New Roman"/>
          <w:sz w:val="24"/>
          <w:szCs w:val="24"/>
        </w:rPr>
        <w:t>. 552, 570 (App. Div. 2013) (“Cohabitation involves ‘an intimate[,]’ ‘close and enduring’ rel</w:t>
      </w:r>
      <w:r>
        <w:rPr>
          <w:rFonts w:ascii="Times New Roman" w:hAnsi="Times New Roman"/>
          <w:sz w:val="24"/>
          <w:szCs w:val="24"/>
        </w:rPr>
        <w:t xml:space="preserve">ationship, requiring ‘more than a common residence’ or mere sexual liaison.”).  </w:t>
      </w:r>
      <w:r>
        <w:rPr>
          <w:rFonts w:ascii="Times New Roman" w:eastAsia="Times New Roman" w:hAnsi="Times New Roman" w:cs="Times New Roman"/>
          <w:sz w:val="24"/>
          <w:szCs w:val="24"/>
        </w:rPr>
        <w:t>Each factor does not need to be satisfied.  And, t</w:t>
      </w:r>
      <w:r>
        <w:rPr>
          <w:rFonts w:ascii="Times New Roman" w:hAnsi="Times New Roman" w:cs="Times New Roman"/>
          <w:sz w:val="24"/>
          <w:szCs w:val="24"/>
        </w:rPr>
        <w:t xml:space="preserve">he statute </w:t>
      </w:r>
      <w:r>
        <w:rPr>
          <w:rFonts w:ascii="Times New Roman" w:hAnsi="Times New Roman" w:cs="Times New Roman"/>
          <w:sz w:val="24"/>
          <w:szCs w:val="24"/>
          <w:u w:val="single"/>
        </w:rPr>
        <w:t>does not</w:t>
      </w:r>
      <w:r>
        <w:rPr>
          <w:rFonts w:ascii="Times New Roman" w:hAnsi="Times New Roman" w:cs="Times New Roman"/>
          <w:sz w:val="24"/>
          <w:szCs w:val="24"/>
        </w:rPr>
        <w:t xml:space="preserve"> elevate a couple’s financial entanglements above the facts supporting a marital-like relationship.   Yet, </w:t>
      </w:r>
      <w:r>
        <w:rPr>
          <w:rFonts w:ascii="Times New Roman" w:eastAsia="Times New Roman" w:hAnsi="Times New Roman" w:cs="Times New Roman"/>
          <w:sz w:val="24"/>
          <w:szCs w:val="24"/>
        </w:rPr>
        <w:t xml:space="preserve">as with other sections of </w:t>
      </w:r>
      <w:r>
        <w:rPr>
          <w:rFonts w:ascii="Times New Roman" w:eastAsia="Times New Roman" w:hAnsi="Times New Roman" w:cs="Times New Roman"/>
          <w:szCs w:val="24"/>
        </w:rPr>
        <w:t xml:space="preserve">N.J.S.A. </w:t>
      </w:r>
      <w:r>
        <w:rPr>
          <w:rFonts w:ascii="Times New Roman" w:eastAsia="Times New Roman" w:hAnsi="Times New Roman" w:cs="Times New Roman"/>
          <w:sz w:val="24"/>
          <w:szCs w:val="24"/>
        </w:rPr>
        <w:t>2A:34-23, the weight given to any single factor or combination of factors, rests in the discretion of the trial judge.</w:t>
      </w:r>
    </w:p>
    <w:p w:rsidR="00E32F7D" w:rsidRDefault="00FA2DFB" w:rsidP="00CA03F3">
      <w:pPr>
        <w:ind w:firstLine="720"/>
        <w:jc w:val="both"/>
        <w:rPr>
          <w:rFonts w:ascii="Times New Roman" w:hAnsi="Times New Roman" w:cs="Times New Roman"/>
          <w:sz w:val="24"/>
          <w:szCs w:val="24"/>
        </w:rPr>
      </w:pPr>
      <w:r>
        <w:rPr>
          <w:rFonts w:ascii="Times New Roman" w:hAnsi="Times New Roman" w:cs="Times New Roman"/>
          <w:sz w:val="24"/>
          <w:szCs w:val="24"/>
        </w:rPr>
        <w:t>One appellate panel recognized “the difficulties of developing proofs of things such as intertwined finances, joint bank accounts, shared living expenses and household chores, and recognition of the relationship in the couple's social and family circle, wi</w:t>
      </w:r>
      <w:r>
        <w:rPr>
          <w:rFonts w:ascii="Times New Roman" w:hAnsi="Times New Roman" w:cs="Times New Roman"/>
          <w:sz w:val="24"/>
          <w:szCs w:val="24"/>
        </w:rPr>
        <w:t xml:space="preserve">thout either invading a former spouse's privacy or taking some discovery on the issue.”  </w:t>
      </w:r>
      <w:r>
        <w:rPr>
          <w:rFonts w:ascii="Times New Roman" w:hAnsi="Times New Roman" w:cs="Times New Roman"/>
          <w:sz w:val="24"/>
          <w:szCs w:val="24"/>
          <w:u w:val="single"/>
        </w:rPr>
        <w:t>Wajda v. Wajda</w:t>
      </w:r>
      <w:r>
        <w:rPr>
          <w:rFonts w:ascii="Times New Roman" w:hAnsi="Times New Roman" w:cs="Times New Roman"/>
          <w:sz w:val="24"/>
          <w:szCs w:val="24"/>
        </w:rPr>
        <w:t xml:space="preserve">, No. A-3461, (App. Div. 2020).  Thus, the challenge for lawyers is how to present sufficient and convincing proof to vault </w:t>
      </w:r>
      <w:r>
        <w:rPr>
          <w:rFonts w:ascii="Times New Roman" w:hAnsi="Times New Roman" w:cs="Times New Roman"/>
          <w:sz w:val="24"/>
          <w:szCs w:val="24"/>
          <w:u w:val="single"/>
        </w:rPr>
        <w:t>Landau</w:t>
      </w:r>
      <w:r>
        <w:rPr>
          <w:rFonts w:ascii="Times New Roman" w:hAnsi="Times New Roman" w:cs="Times New Roman"/>
          <w:sz w:val="24"/>
          <w:szCs w:val="24"/>
        </w:rPr>
        <w:t>’s prima facie evidence</w:t>
      </w:r>
      <w:r>
        <w:rPr>
          <w:rFonts w:ascii="Times New Roman" w:hAnsi="Times New Roman" w:cs="Times New Roman"/>
          <w:sz w:val="24"/>
          <w:szCs w:val="24"/>
        </w:rPr>
        <w:t xml:space="preserve"> of cohabitation allowing a court to enter an order for discovery.  </w:t>
      </w:r>
    </w:p>
    <w:p w:rsidR="00E32F7D" w:rsidRDefault="00FA2DFB" w:rsidP="00CA03F3">
      <w:pPr>
        <w:ind w:firstLine="720"/>
        <w:jc w:val="both"/>
        <w:rPr>
          <w:rFonts w:ascii="Times New Roman" w:hAnsi="Times New Roman" w:cs="Times New Roman"/>
          <w:sz w:val="24"/>
          <w:szCs w:val="24"/>
        </w:rPr>
      </w:pPr>
      <w:r>
        <w:rPr>
          <w:rFonts w:ascii="Times New Roman" w:hAnsi="Times New Roman" w:cs="Times New Roman"/>
          <w:sz w:val="24"/>
          <w:szCs w:val="24"/>
        </w:rPr>
        <w:t xml:space="preserve">Indeed, this is a fact sensitive </w:t>
      </w:r>
      <w:r>
        <w:rPr>
          <w:rFonts w:ascii="Times New Roman" w:hAnsi="Times New Roman" w:cs="Times New Roman"/>
          <w:sz w:val="24"/>
          <w:szCs w:val="24"/>
        </w:rPr>
        <w:t xml:space="preserve">determination </w:t>
      </w:r>
      <w:r>
        <w:rPr>
          <w:rFonts w:ascii="Times New Roman" w:hAnsi="Times New Roman" w:cs="Times New Roman"/>
          <w:sz w:val="24"/>
          <w:szCs w:val="24"/>
        </w:rPr>
        <w:t>and all facts matter.  But exactly what evidence shows the examined relationship is more than dating?  Here are some suggestions.</w:t>
      </w:r>
    </w:p>
    <w:p w:rsidR="00E32F7D" w:rsidRDefault="00FA2DFB" w:rsidP="00CA03F3">
      <w:pPr>
        <w:jc w:val="both"/>
        <w:rPr>
          <w:rFonts w:ascii="Times New Roman" w:hAnsi="Times New Roman" w:cs="Times New Roman"/>
          <w:sz w:val="24"/>
          <w:szCs w:val="24"/>
        </w:rPr>
      </w:pPr>
      <w:r>
        <w:rPr>
          <w:rFonts w:ascii="Times New Roman" w:hAnsi="Times New Roman" w:cs="Times New Roman"/>
          <w:b/>
          <w:bCs/>
          <w:sz w:val="24"/>
          <w:szCs w:val="24"/>
          <w:u w:val="single"/>
        </w:rPr>
        <w:t>FACTOR 1</w:t>
      </w:r>
      <w:r>
        <w:rPr>
          <w:rFonts w:ascii="Times New Roman" w:hAnsi="Times New Roman" w:cs="Times New Roman"/>
          <w:sz w:val="24"/>
          <w:szCs w:val="24"/>
          <w:u w:val="single"/>
        </w:rPr>
        <w:t xml:space="preserve">: </w:t>
      </w:r>
      <w:r>
        <w:rPr>
          <w:rFonts w:ascii="Times New Roman" w:hAnsi="Times New Roman" w:cs="Times New Roman"/>
          <w:sz w:val="24"/>
          <w:szCs w:val="24"/>
          <w:u w:val="single"/>
        </w:rPr>
        <w:t>Intertwined Finances</w:t>
      </w:r>
      <w:r>
        <w:rPr>
          <w:rFonts w:ascii="Times New Roman" w:hAnsi="Times New Roman" w:cs="Times New Roman"/>
          <w:sz w:val="24"/>
          <w:szCs w:val="24"/>
        </w:rPr>
        <w:t xml:space="preserve">.  Since 2014, many unpublished Appellate Division cases affirmed a trial court’s denial of a post-judgment motion for review based on cohabitation, reciting a lack of evidence of intertwined finances.  </w:t>
      </w:r>
      <w:r>
        <w:rPr>
          <w:rFonts w:ascii="Times New Roman" w:hAnsi="Times New Roman" w:cs="Times New Roman"/>
          <w:sz w:val="24"/>
          <w:szCs w:val="24"/>
          <w:u w:val="single"/>
        </w:rPr>
        <w:t>See e.g.</w:t>
      </w:r>
      <w:r>
        <w:rPr>
          <w:rFonts w:ascii="Times New Roman" w:hAnsi="Times New Roman" w:cs="Times New Roman"/>
          <w:sz w:val="24"/>
          <w:szCs w:val="24"/>
        </w:rPr>
        <w:t xml:space="preserve">, </w:t>
      </w:r>
      <w:r>
        <w:rPr>
          <w:rFonts w:ascii="Times New Roman" w:hAnsi="Times New Roman" w:cs="Times New Roman"/>
          <w:sz w:val="24"/>
          <w:szCs w:val="24"/>
          <w:u w:val="single"/>
        </w:rPr>
        <w:t>M.M. v. J.Y.</w:t>
      </w:r>
      <w:r>
        <w:rPr>
          <w:rFonts w:ascii="Times New Roman" w:hAnsi="Times New Roman" w:cs="Times New Roman"/>
          <w:sz w:val="24"/>
          <w:szCs w:val="24"/>
        </w:rPr>
        <w:t>, No. A-391</w:t>
      </w:r>
      <w:r>
        <w:rPr>
          <w:rFonts w:ascii="Times New Roman" w:hAnsi="Times New Roman" w:cs="Times New Roman"/>
          <w:sz w:val="24"/>
          <w:szCs w:val="24"/>
        </w:rPr>
        <w:t xml:space="preserve">0-17 (App. Div. 2019); </w:t>
      </w:r>
      <w:r>
        <w:rPr>
          <w:rFonts w:ascii="Times New Roman" w:hAnsi="Times New Roman" w:cs="Times New Roman"/>
          <w:sz w:val="24"/>
          <w:szCs w:val="24"/>
          <w:u w:val="single"/>
        </w:rPr>
        <w:t>Mennen v. Mennen</w:t>
      </w:r>
      <w:r>
        <w:rPr>
          <w:rFonts w:ascii="Times New Roman" w:hAnsi="Times New Roman" w:cs="Times New Roman"/>
          <w:sz w:val="24"/>
          <w:szCs w:val="24"/>
        </w:rPr>
        <w:t xml:space="preserve">, No. A-4345-17 (App. Div. 2019); </w:t>
      </w:r>
      <w:r>
        <w:rPr>
          <w:rFonts w:ascii="Times New Roman" w:hAnsi="Times New Roman" w:cs="Times New Roman"/>
          <w:sz w:val="24"/>
          <w:szCs w:val="24"/>
          <w:u w:val="single"/>
        </w:rPr>
        <w:t>Robinski v. Robinski</w:t>
      </w:r>
      <w:r>
        <w:rPr>
          <w:rFonts w:ascii="Times New Roman" w:hAnsi="Times New Roman" w:cs="Times New Roman"/>
          <w:sz w:val="24"/>
          <w:szCs w:val="24"/>
        </w:rPr>
        <w:t>, No. A-2818-14 (App Div. 2016).   Admittedly, this is one of the most difficult factors to prove without discovery.  If you meet your initial burden, and seek dis</w:t>
      </w:r>
      <w:r>
        <w:rPr>
          <w:rFonts w:ascii="Times New Roman" w:hAnsi="Times New Roman" w:cs="Times New Roman"/>
          <w:sz w:val="24"/>
          <w:szCs w:val="24"/>
        </w:rPr>
        <w:t xml:space="preserve">covery, </w:t>
      </w:r>
      <w:r>
        <w:rPr>
          <w:rFonts w:ascii="Times New Roman" w:hAnsi="Times New Roman" w:cs="Times New Roman"/>
          <w:sz w:val="24"/>
          <w:szCs w:val="24"/>
        </w:rPr>
        <w:t xml:space="preserve">look for </w:t>
      </w:r>
      <w:r>
        <w:rPr>
          <w:rFonts w:ascii="Times New Roman" w:hAnsi="Times New Roman" w:cs="Times New Roman"/>
          <w:sz w:val="24"/>
          <w:szCs w:val="24"/>
        </w:rPr>
        <w:t xml:space="preserve">some </w:t>
      </w:r>
      <w:r>
        <w:rPr>
          <w:rFonts w:ascii="Times New Roman" w:hAnsi="Times New Roman" w:cs="Times New Roman"/>
          <w:sz w:val="24"/>
          <w:szCs w:val="24"/>
        </w:rPr>
        <w:t>of these.</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Shared bank accounts.</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Authorized signer </w:t>
      </w:r>
      <w:r>
        <w:rPr>
          <w:rFonts w:ascii="Times New Roman" w:hAnsi="Times New Roman" w:cs="Times New Roman"/>
          <w:sz w:val="24"/>
          <w:szCs w:val="24"/>
        </w:rPr>
        <w:t xml:space="preserve">or on </w:t>
      </w:r>
      <w:r>
        <w:rPr>
          <w:rFonts w:ascii="Times New Roman" w:hAnsi="Times New Roman" w:cs="Times New Roman"/>
          <w:sz w:val="24"/>
          <w:szCs w:val="24"/>
        </w:rPr>
        <w:t>bank accounts.</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ATM withdrawals.</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Shared investments.</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Shared credit cards or authorized use of another’s credit card.</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Lend </w:t>
      </w:r>
      <w:r>
        <w:rPr>
          <w:rFonts w:ascii="Times New Roman" w:hAnsi="Times New Roman" w:cs="Times New Roman"/>
          <w:sz w:val="24"/>
          <w:szCs w:val="24"/>
        </w:rPr>
        <w:t>money.</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Payment of credit card bills.</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Co-sign a lease.</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Co-sign vacation rental leases.</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Listed as household member on lease.</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Co-sign for loan.</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Personal guarantees for loans or leases.</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Borrowing money from the other’s relatives.</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Included as authorized driver </w:t>
      </w:r>
      <w:r>
        <w:rPr>
          <w:rFonts w:ascii="Times New Roman" w:hAnsi="Times New Roman" w:cs="Times New Roman"/>
          <w:sz w:val="24"/>
          <w:szCs w:val="24"/>
        </w:rPr>
        <w:t>on car insurance.</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Payment of traffic or parking tickets.</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Authorized use on Amazon Prime, Netflix, news, </w:t>
      </w:r>
      <w:r>
        <w:rPr>
          <w:rFonts w:ascii="Times New Roman" w:hAnsi="Times New Roman" w:cs="Times New Roman"/>
          <w:sz w:val="24"/>
          <w:szCs w:val="24"/>
        </w:rPr>
        <w:t>entertainment, or music streaming services.</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Listed on </w:t>
      </w:r>
      <w:r>
        <w:rPr>
          <w:rFonts w:ascii="Times New Roman" w:hAnsi="Times New Roman" w:cs="Times New Roman"/>
          <w:sz w:val="24"/>
          <w:szCs w:val="24"/>
        </w:rPr>
        <w:t>f</w:t>
      </w:r>
      <w:r>
        <w:rPr>
          <w:rFonts w:ascii="Times New Roman" w:hAnsi="Times New Roman" w:cs="Times New Roman"/>
          <w:sz w:val="24"/>
          <w:szCs w:val="24"/>
        </w:rPr>
        <w:t>amily gym membership.</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Owner or beneficiary of life insurance policy.</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Beneficiary on IRA.</w:t>
      </w:r>
    </w:p>
    <w:p w:rsidR="00E32F7D" w:rsidRDefault="00FA2DFB" w:rsidP="00CA03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Benefi</w:t>
      </w:r>
      <w:r>
        <w:rPr>
          <w:rFonts w:ascii="Times New Roman" w:hAnsi="Times New Roman" w:cs="Times New Roman"/>
          <w:sz w:val="24"/>
          <w:szCs w:val="24"/>
        </w:rPr>
        <w:t>ciary in will.</w:t>
      </w:r>
    </w:p>
    <w:p w:rsidR="00E32F7D" w:rsidRDefault="00FA2DFB" w:rsidP="00CA03F3">
      <w:pPr>
        <w:jc w:val="both"/>
        <w:rPr>
          <w:rFonts w:ascii="Times New Roman" w:hAnsi="Times New Roman" w:cs="Times New Roman"/>
          <w:sz w:val="24"/>
          <w:szCs w:val="24"/>
        </w:rPr>
      </w:pPr>
      <w:r>
        <w:rPr>
          <w:rFonts w:ascii="Times New Roman" w:hAnsi="Times New Roman" w:cs="Times New Roman"/>
          <w:b/>
          <w:bCs/>
          <w:sz w:val="24"/>
          <w:szCs w:val="24"/>
          <w:u w:val="single"/>
        </w:rPr>
        <w:t>FACTOR 2</w:t>
      </w:r>
      <w:r>
        <w:rPr>
          <w:rFonts w:ascii="Times New Roman" w:hAnsi="Times New Roman" w:cs="Times New Roman"/>
          <w:sz w:val="24"/>
          <w:szCs w:val="24"/>
          <w:u w:val="single"/>
        </w:rPr>
        <w:t>: Sharing Living Expenses</w:t>
      </w:r>
      <w:r>
        <w:rPr>
          <w:rFonts w:ascii="Times New Roman" w:hAnsi="Times New Roman" w:cs="Times New Roman"/>
          <w:sz w:val="24"/>
          <w:szCs w:val="24"/>
        </w:rPr>
        <w:t xml:space="preserve">.  As is the case with intertwined finances, evidence of shared living expenses may rest solely with the putative cohabiting spouse and cohabitor. You need to examine not only whether there are actual shared </w:t>
      </w:r>
      <w:r>
        <w:rPr>
          <w:rFonts w:ascii="Times New Roman" w:hAnsi="Times New Roman" w:cs="Times New Roman"/>
          <w:sz w:val="24"/>
          <w:szCs w:val="24"/>
        </w:rPr>
        <w:t xml:space="preserve">payments for obvious expenses, but also whether one party is bearing responsibility for the other’s costs when the parties are together.   </w:t>
      </w:r>
    </w:p>
    <w:p w:rsidR="00E32F7D" w:rsidRDefault="00FA2DFB" w:rsidP="00CA03F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Change in usage </w:t>
      </w:r>
      <w:r>
        <w:rPr>
          <w:rFonts w:ascii="Times New Roman" w:hAnsi="Times New Roman" w:cs="Times New Roman"/>
          <w:sz w:val="24"/>
          <w:szCs w:val="24"/>
        </w:rPr>
        <w:t>of</w:t>
      </w:r>
      <w:r>
        <w:rPr>
          <w:rFonts w:ascii="Times New Roman" w:hAnsi="Times New Roman" w:cs="Times New Roman"/>
          <w:sz w:val="24"/>
          <w:szCs w:val="24"/>
        </w:rPr>
        <w:t xml:space="preserve"> utility bills. This may be evident </w:t>
      </w:r>
      <w:r>
        <w:rPr>
          <w:rFonts w:ascii="Times New Roman" w:hAnsi="Times New Roman" w:cs="Times New Roman"/>
          <w:sz w:val="24"/>
          <w:szCs w:val="24"/>
        </w:rPr>
        <w:t xml:space="preserve">by </w:t>
      </w:r>
      <w:r>
        <w:rPr>
          <w:rFonts w:ascii="Times New Roman" w:hAnsi="Times New Roman" w:cs="Times New Roman"/>
          <w:sz w:val="24"/>
          <w:szCs w:val="24"/>
        </w:rPr>
        <w:t xml:space="preserve">a </w:t>
      </w:r>
      <w:r>
        <w:rPr>
          <w:rFonts w:ascii="Times New Roman" w:hAnsi="Times New Roman" w:cs="Times New Roman"/>
          <w:sz w:val="24"/>
          <w:szCs w:val="24"/>
        </w:rPr>
        <w:t xml:space="preserve">change in usage of utility costs </w:t>
      </w:r>
      <w:r>
        <w:rPr>
          <w:rFonts w:ascii="Times New Roman" w:hAnsi="Times New Roman" w:cs="Times New Roman"/>
          <w:sz w:val="24"/>
          <w:szCs w:val="24"/>
        </w:rPr>
        <w:t>like electricity</w:t>
      </w:r>
      <w:r>
        <w:rPr>
          <w:rFonts w:ascii="Times New Roman" w:hAnsi="Times New Roman" w:cs="Times New Roman"/>
          <w:sz w:val="24"/>
          <w:szCs w:val="24"/>
        </w:rPr>
        <w:t>,</w:t>
      </w:r>
      <w:r>
        <w:rPr>
          <w:rFonts w:ascii="Times New Roman" w:hAnsi="Times New Roman" w:cs="Times New Roman"/>
          <w:sz w:val="24"/>
          <w:szCs w:val="24"/>
        </w:rPr>
        <w:t xml:space="preserve"> cable or internet subscriptions.  If the parties suggest they have separate residences, </w:t>
      </w:r>
      <w:r>
        <w:rPr>
          <w:rFonts w:ascii="Times New Roman" w:hAnsi="Times New Roman" w:cs="Times New Roman"/>
          <w:sz w:val="24"/>
          <w:szCs w:val="24"/>
        </w:rPr>
        <w:t xml:space="preserve">also </w:t>
      </w:r>
      <w:r>
        <w:rPr>
          <w:rFonts w:ascii="Times New Roman" w:hAnsi="Times New Roman" w:cs="Times New Roman"/>
          <w:sz w:val="24"/>
          <w:szCs w:val="24"/>
        </w:rPr>
        <w:t xml:space="preserve">check </w:t>
      </w:r>
      <w:r>
        <w:rPr>
          <w:rFonts w:ascii="Times New Roman" w:hAnsi="Times New Roman" w:cs="Times New Roman"/>
          <w:sz w:val="24"/>
          <w:szCs w:val="24"/>
        </w:rPr>
        <w:t xml:space="preserve">for a </w:t>
      </w:r>
      <w:r>
        <w:rPr>
          <w:rFonts w:ascii="Times New Roman" w:hAnsi="Times New Roman" w:cs="Times New Roman"/>
          <w:sz w:val="24"/>
          <w:szCs w:val="24"/>
        </w:rPr>
        <w:t>change in usage in both homes (up and down) over period of alleged cohabitation.</w:t>
      </w:r>
    </w:p>
    <w:p w:rsidR="00E32F7D" w:rsidRDefault="00FA2DFB" w:rsidP="00CA03F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Payment for elaborate vacat</w:t>
      </w:r>
      <w:r>
        <w:rPr>
          <w:rFonts w:ascii="Times New Roman" w:hAnsi="Times New Roman" w:cs="Times New Roman"/>
          <w:sz w:val="24"/>
          <w:szCs w:val="24"/>
        </w:rPr>
        <w:t xml:space="preserve">ions. Who bears the costs for travel, hotel, meals, other </w:t>
      </w:r>
      <w:r w:rsidR="00CA03F3">
        <w:rPr>
          <w:rFonts w:ascii="Times New Roman" w:hAnsi="Times New Roman" w:cs="Times New Roman"/>
          <w:sz w:val="24"/>
          <w:szCs w:val="24"/>
        </w:rPr>
        <w:t>enhancements</w:t>
      </w:r>
      <w:r>
        <w:rPr>
          <w:rFonts w:ascii="Times New Roman" w:hAnsi="Times New Roman" w:cs="Times New Roman"/>
          <w:sz w:val="24"/>
          <w:szCs w:val="24"/>
        </w:rPr>
        <w:t xml:space="preserve">?  Are the parties’ children included and paid for by the cohabitor?    </w:t>
      </w:r>
    </w:p>
    <w:p w:rsidR="00E32F7D" w:rsidRDefault="00FA2DFB" w:rsidP="00CA03F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Are there other emoluments purchased by the cohabitor that enhance the lifestyle of the former spouse’s household</w:t>
      </w:r>
      <w:r>
        <w:rPr>
          <w:rFonts w:ascii="Times New Roman" w:hAnsi="Times New Roman" w:cs="Times New Roman"/>
          <w:sz w:val="24"/>
          <w:szCs w:val="24"/>
        </w:rPr>
        <w:t>, such as entertainment, dining out, and the like.</w:t>
      </w:r>
    </w:p>
    <w:p w:rsidR="00E32F7D" w:rsidRDefault="00FA2DFB" w:rsidP="00CA03F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Payments through Venmo, Paypal, Zelle and similar cash transfer services. </w:t>
      </w:r>
    </w:p>
    <w:p w:rsidR="00E32F7D" w:rsidRDefault="00FA2DFB" w:rsidP="00CA03F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Look at what is purchased.  For example, are groceries bought for the entire household?  </w:t>
      </w:r>
    </w:p>
    <w:p w:rsidR="00E32F7D" w:rsidRDefault="00FA2DFB" w:rsidP="00CA03F3">
      <w:pPr>
        <w:pStyle w:val="ListParagraph"/>
        <w:jc w:val="both"/>
        <w:rPr>
          <w:rFonts w:ascii="Times New Roman" w:hAnsi="Times New Roman" w:cs="Times New Roman"/>
          <w:sz w:val="24"/>
          <w:szCs w:val="24"/>
        </w:rPr>
      </w:pPr>
      <w:r>
        <w:rPr>
          <w:rFonts w:ascii="Times New Roman" w:hAnsi="Times New Roman" w:cs="Times New Roman"/>
          <w:sz w:val="24"/>
          <w:szCs w:val="24"/>
        </w:rPr>
        <w:t>Is there a newspaper or magazine subscri</w:t>
      </w:r>
      <w:r>
        <w:rPr>
          <w:rFonts w:ascii="Times New Roman" w:hAnsi="Times New Roman" w:cs="Times New Roman"/>
          <w:sz w:val="24"/>
          <w:szCs w:val="24"/>
        </w:rPr>
        <w:t xml:space="preserve">ption delivered to the former spouse’s residence?   </w:t>
      </w:r>
    </w:p>
    <w:p w:rsidR="00E32F7D" w:rsidRDefault="00FA2DFB" w:rsidP="00CA03F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Shared use of vehicles or EZ Pass.</w:t>
      </w:r>
    </w:p>
    <w:p w:rsidR="00E32F7D" w:rsidRDefault="00FA2DFB" w:rsidP="00CA03F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Shared pets.</w:t>
      </w:r>
    </w:p>
    <w:p w:rsidR="00E32F7D" w:rsidRDefault="00FA2DFB" w:rsidP="00CA03F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Buying things for the household.  Whether it’s dishes, or a TV, furniture or a kitchen appliance.  Also, making home improvements large (new carpet) or sma</w:t>
      </w:r>
      <w:r>
        <w:rPr>
          <w:rFonts w:ascii="Times New Roman" w:hAnsi="Times New Roman" w:cs="Times New Roman"/>
          <w:sz w:val="24"/>
          <w:szCs w:val="24"/>
        </w:rPr>
        <w:t xml:space="preserve">ll (a new </w:t>
      </w:r>
      <w:r>
        <w:rPr>
          <w:rFonts w:ascii="Times New Roman" w:hAnsi="Times New Roman" w:cs="Times New Roman"/>
          <w:sz w:val="24"/>
          <w:szCs w:val="24"/>
        </w:rPr>
        <w:t>mailbox</w:t>
      </w:r>
      <w:r>
        <w:rPr>
          <w:rFonts w:ascii="Times New Roman" w:hAnsi="Times New Roman" w:cs="Times New Roman"/>
          <w:sz w:val="24"/>
          <w:szCs w:val="24"/>
        </w:rPr>
        <w:t xml:space="preserve"> or basketball hoop). </w:t>
      </w:r>
    </w:p>
    <w:p w:rsidR="00E32F7D" w:rsidRDefault="00FA2DFB" w:rsidP="00CA03F3">
      <w:pPr>
        <w:jc w:val="both"/>
        <w:rPr>
          <w:rFonts w:ascii="Times New Roman" w:hAnsi="Times New Roman" w:cs="Times New Roman"/>
          <w:sz w:val="24"/>
          <w:szCs w:val="24"/>
        </w:rPr>
      </w:pPr>
      <w:r>
        <w:rPr>
          <w:rFonts w:ascii="Times New Roman" w:hAnsi="Times New Roman" w:cs="Times New Roman"/>
          <w:b/>
          <w:bCs/>
          <w:sz w:val="24"/>
          <w:szCs w:val="24"/>
          <w:u w:val="single"/>
        </w:rPr>
        <w:t>FACTOR 3</w:t>
      </w:r>
      <w:r>
        <w:rPr>
          <w:rFonts w:ascii="Times New Roman" w:hAnsi="Times New Roman" w:cs="Times New Roman"/>
          <w:sz w:val="24"/>
          <w:szCs w:val="24"/>
          <w:u w:val="single"/>
        </w:rPr>
        <w:t>: Recognition of the relationship in the couples</w:t>
      </w:r>
      <w:r w:rsidR="00CA03F3">
        <w:rPr>
          <w:rFonts w:ascii="Times New Roman" w:hAnsi="Times New Roman" w:cs="Times New Roman"/>
          <w:sz w:val="24"/>
          <w:szCs w:val="24"/>
          <w:u w:val="single"/>
        </w:rPr>
        <w:t>’</w:t>
      </w:r>
      <w:r>
        <w:rPr>
          <w:rFonts w:ascii="Times New Roman" w:hAnsi="Times New Roman" w:cs="Times New Roman"/>
          <w:sz w:val="24"/>
          <w:szCs w:val="24"/>
          <w:u w:val="single"/>
        </w:rPr>
        <w:t xml:space="preserve"> social and family circle.</w:t>
      </w:r>
      <w:r>
        <w:rPr>
          <w:rFonts w:ascii="Times New Roman" w:hAnsi="Times New Roman" w:cs="Times New Roman"/>
          <w:sz w:val="24"/>
          <w:szCs w:val="24"/>
        </w:rPr>
        <w:t xml:space="preserve"> This factor is essential in assessing whether the relationship rises to the level of a mutually supportive, intimate personal relationship and whether it is one of stability and permanence. Here are some things to look for. </w:t>
      </w:r>
    </w:p>
    <w:p w:rsidR="00E32F7D" w:rsidRDefault="00FA2DFB" w:rsidP="00CA03F3">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Have a child(ren) to</w:t>
      </w:r>
      <w:r>
        <w:rPr>
          <w:rFonts w:ascii="Times New Roman" w:hAnsi="Times New Roman" w:cs="Times New Roman"/>
          <w:sz w:val="24"/>
          <w:szCs w:val="24"/>
        </w:rPr>
        <w:t xml:space="preserve">gether. </w:t>
      </w:r>
    </w:p>
    <w:p w:rsidR="00E32F7D" w:rsidRDefault="00FA2DFB" w:rsidP="00CA03F3">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 xml:space="preserve">Being engaged. </w:t>
      </w:r>
    </w:p>
    <w:p w:rsidR="00E32F7D" w:rsidRDefault="00FA2DFB" w:rsidP="00CA03F3">
      <w:pPr>
        <w:spacing w:after="0"/>
        <w:ind w:left="72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Being present at family events </w:t>
      </w:r>
      <w:r>
        <w:rPr>
          <w:rFonts w:ascii="Times New Roman" w:hAnsi="Times New Roman" w:cs="Times New Roman"/>
          <w:sz w:val="24"/>
          <w:szCs w:val="24"/>
        </w:rPr>
        <w:t xml:space="preserve">including </w:t>
      </w:r>
      <w:r>
        <w:rPr>
          <w:rFonts w:ascii="Times New Roman" w:hAnsi="Times New Roman" w:cs="Times New Roman"/>
          <w:sz w:val="24"/>
          <w:szCs w:val="24"/>
        </w:rPr>
        <w:t>wedding</w:t>
      </w:r>
      <w:r>
        <w:rPr>
          <w:rFonts w:ascii="Times New Roman" w:hAnsi="Times New Roman" w:cs="Times New Roman"/>
          <w:sz w:val="24"/>
          <w:szCs w:val="24"/>
        </w:rPr>
        <w:t>s</w:t>
      </w:r>
      <w:r>
        <w:rPr>
          <w:rFonts w:ascii="Times New Roman" w:hAnsi="Times New Roman" w:cs="Times New Roman"/>
          <w:sz w:val="24"/>
          <w:szCs w:val="24"/>
        </w:rPr>
        <w:t>, baptism</w:t>
      </w:r>
      <w:r>
        <w:rPr>
          <w:rFonts w:ascii="Times New Roman" w:hAnsi="Times New Roman" w:cs="Times New Roman"/>
          <w:sz w:val="24"/>
          <w:szCs w:val="24"/>
        </w:rPr>
        <w:t>s</w:t>
      </w:r>
      <w:r>
        <w:rPr>
          <w:rFonts w:ascii="Times New Roman" w:hAnsi="Times New Roman" w:cs="Times New Roman"/>
          <w:sz w:val="24"/>
          <w:szCs w:val="24"/>
        </w:rPr>
        <w:t>, christening</w:t>
      </w:r>
      <w:r>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ar and </w:t>
      </w:r>
      <w:r>
        <w:rPr>
          <w:rFonts w:ascii="Times New Roman" w:hAnsi="Times New Roman" w:cs="Times New Roman"/>
          <w:sz w:val="24"/>
          <w:szCs w:val="24"/>
        </w:rPr>
        <w:t>B</w:t>
      </w:r>
      <w:r>
        <w:rPr>
          <w:rFonts w:ascii="Times New Roman" w:hAnsi="Times New Roman" w:cs="Times New Roman"/>
          <w:sz w:val="24"/>
          <w:szCs w:val="24"/>
        </w:rPr>
        <w:t>at Mitzvah</w:t>
      </w:r>
      <w:r>
        <w:rPr>
          <w:rFonts w:ascii="Times New Roman" w:hAnsi="Times New Roman" w:cs="Times New Roman"/>
          <w:sz w:val="24"/>
          <w:szCs w:val="24"/>
        </w:rPr>
        <w:t>s</w:t>
      </w:r>
      <w:r>
        <w:rPr>
          <w:rFonts w:ascii="Times New Roman" w:hAnsi="Times New Roman" w:cs="Times New Roman"/>
          <w:sz w:val="24"/>
          <w:szCs w:val="24"/>
        </w:rPr>
        <w:t>, family or school reunion</w:t>
      </w:r>
      <w:r>
        <w:rPr>
          <w:rFonts w:ascii="Times New Roman" w:hAnsi="Times New Roman" w:cs="Times New Roman"/>
          <w:sz w:val="24"/>
          <w:szCs w:val="24"/>
        </w:rPr>
        <w:t>s</w:t>
      </w:r>
      <w:r>
        <w:rPr>
          <w:rFonts w:ascii="Times New Roman" w:hAnsi="Times New Roman" w:cs="Times New Roman"/>
          <w:sz w:val="24"/>
          <w:szCs w:val="24"/>
        </w:rPr>
        <w:t>, birthday part</w:t>
      </w:r>
      <w:r>
        <w:rPr>
          <w:rFonts w:ascii="Times New Roman" w:hAnsi="Times New Roman" w:cs="Times New Roman"/>
          <w:sz w:val="24"/>
          <w:szCs w:val="24"/>
        </w:rPr>
        <w:t>ies</w:t>
      </w:r>
      <w:r>
        <w:rPr>
          <w:rFonts w:ascii="Times New Roman" w:hAnsi="Times New Roman" w:cs="Times New Roman"/>
          <w:sz w:val="24"/>
          <w:szCs w:val="24"/>
        </w:rPr>
        <w:t xml:space="preserve">, holiday gatherings, </w:t>
      </w:r>
      <w:r>
        <w:rPr>
          <w:rFonts w:ascii="Times New Roman" w:hAnsi="Times New Roman" w:cs="Times New Roman"/>
          <w:sz w:val="24"/>
          <w:szCs w:val="24"/>
        </w:rPr>
        <w:t xml:space="preserve">or </w:t>
      </w:r>
      <w:r>
        <w:rPr>
          <w:rFonts w:ascii="Times New Roman" w:hAnsi="Times New Roman" w:cs="Times New Roman"/>
          <w:sz w:val="24"/>
          <w:szCs w:val="24"/>
        </w:rPr>
        <w:t xml:space="preserve">funerals. </w:t>
      </w:r>
    </w:p>
    <w:p w:rsidR="00E32F7D" w:rsidRDefault="00FA2DFB" w:rsidP="00CA03F3">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Being present at children’s events </w:t>
      </w:r>
      <w:r>
        <w:rPr>
          <w:rFonts w:ascii="Times New Roman" w:hAnsi="Times New Roman" w:cs="Times New Roman"/>
          <w:sz w:val="24"/>
          <w:szCs w:val="24"/>
        </w:rPr>
        <w:t>- sporting events or other extracurricular activities, school events, trips or plays, Halloween parade</w:t>
      </w:r>
      <w:r>
        <w:rPr>
          <w:rFonts w:ascii="Times New Roman" w:hAnsi="Times New Roman" w:cs="Times New Roman"/>
          <w:sz w:val="24"/>
          <w:szCs w:val="24"/>
        </w:rPr>
        <w:t>s</w:t>
      </w:r>
      <w:r>
        <w:rPr>
          <w:rFonts w:ascii="Times New Roman" w:hAnsi="Times New Roman" w:cs="Times New Roman"/>
          <w:sz w:val="24"/>
          <w:szCs w:val="24"/>
        </w:rPr>
        <w:t xml:space="preserve"> or holiday concert</w:t>
      </w:r>
      <w:r>
        <w:rPr>
          <w:rFonts w:ascii="Times New Roman" w:hAnsi="Times New Roman" w:cs="Times New Roman"/>
          <w:sz w:val="24"/>
          <w:szCs w:val="24"/>
        </w:rPr>
        <w:t>s</w:t>
      </w:r>
      <w:r>
        <w:rPr>
          <w:rFonts w:ascii="Times New Roman" w:hAnsi="Times New Roman" w:cs="Times New Roman"/>
          <w:sz w:val="24"/>
          <w:szCs w:val="24"/>
        </w:rPr>
        <w:t>, field day, parent teacher organizational events; parent teacher conference</w:t>
      </w:r>
      <w:r>
        <w:rPr>
          <w:rFonts w:ascii="Times New Roman" w:hAnsi="Times New Roman" w:cs="Times New Roman"/>
          <w:sz w:val="24"/>
          <w:szCs w:val="24"/>
        </w:rPr>
        <w:t>s</w:t>
      </w:r>
      <w:r>
        <w:rPr>
          <w:rFonts w:ascii="Times New Roman" w:hAnsi="Times New Roman" w:cs="Times New Roman"/>
          <w:sz w:val="24"/>
          <w:szCs w:val="24"/>
        </w:rPr>
        <w:t>, back to school night</w:t>
      </w:r>
      <w:r>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 xml:space="preserve"> or</w:t>
      </w:r>
      <w:r>
        <w:rPr>
          <w:rFonts w:ascii="Times New Roman" w:hAnsi="Times New Roman" w:cs="Times New Roman"/>
          <w:sz w:val="24"/>
          <w:szCs w:val="24"/>
        </w:rPr>
        <w:t xml:space="preserve"> graduations.</w:t>
      </w:r>
    </w:p>
    <w:p w:rsidR="00E32F7D" w:rsidRDefault="00FA2DFB" w:rsidP="00CA03F3">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Presence on social media - how is the relationship characterized on Facebook, Instagram, Twitter, Snapchat, Tik Tok,</w:t>
      </w:r>
      <w:r>
        <w:rPr>
          <w:rFonts w:ascii="Times New Roman" w:hAnsi="Times New Roman" w:cs="Times New Roman"/>
          <w:sz w:val="24"/>
          <w:szCs w:val="24"/>
        </w:rPr>
        <w:t xml:space="preserve">or </w:t>
      </w:r>
      <w:r>
        <w:rPr>
          <w:rFonts w:ascii="Times New Roman" w:hAnsi="Times New Roman" w:cs="Times New Roman"/>
          <w:sz w:val="24"/>
          <w:szCs w:val="24"/>
        </w:rPr>
        <w:t>Tumblr</w:t>
      </w:r>
      <w:r>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re there shared mutual friends</w:t>
      </w:r>
      <w:r>
        <w:rPr>
          <w:rFonts w:ascii="Times New Roman" w:hAnsi="Times New Roman" w:cs="Times New Roman"/>
          <w:sz w:val="24"/>
          <w:szCs w:val="24"/>
        </w:rPr>
        <w:t>,</w:t>
      </w:r>
      <w:r>
        <w:rPr>
          <w:rFonts w:ascii="Times New Roman" w:hAnsi="Times New Roman" w:cs="Times New Roman"/>
          <w:sz w:val="24"/>
          <w:szCs w:val="24"/>
        </w:rPr>
        <w:t xml:space="preserve"> friends with </w:t>
      </w:r>
      <w:r>
        <w:rPr>
          <w:rFonts w:ascii="Times New Roman" w:hAnsi="Times New Roman" w:cs="Times New Roman"/>
          <w:sz w:val="24"/>
          <w:szCs w:val="24"/>
        </w:rPr>
        <w:t>each other’s</w:t>
      </w:r>
      <w:r>
        <w:rPr>
          <w:rFonts w:ascii="Times New Roman" w:hAnsi="Times New Roman" w:cs="Times New Roman"/>
          <w:sz w:val="24"/>
          <w:szCs w:val="24"/>
        </w:rPr>
        <w:t xml:space="preserve"> family and friends</w:t>
      </w:r>
      <w:r>
        <w:rPr>
          <w:rFonts w:ascii="Times New Roman" w:hAnsi="Times New Roman" w:cs="Times New Roman"/>
          <w:sz w:val="24"/>
          <w:szCs w:val="24"/>
        </w:rPr>
        <w:t>,</w:t>
      </w:r>
      <w:r w:rsidR="00CA03F3">
        <w:rPr>
          <w:rFonts w:ascii="Times New Roman" w:hAnsi="Times New Roman" w:cs="Times New Roman"/>
          <w:sz w:val="24"/>
          <w:szCs w:val="24"/>
        </w:rPr>
        <w:t xml:space="preserve"> “</w:t>
      </w:r>
      <w:r>
        <w:rPr>
          <w:rFonts w:ascii="Times New Roman" w:hAnsi="Times New Roman" w:cs="Times New Roman"/>
          <w:sz w:val="24"/>
          <w:szCs w:val="24"/>
        </w:rPr>
        <w:t xml:space="preserve">likes” </w:t>
      </w:r>
      <w:r>
        <w:rPr>
          <w:rFonts w:ascii="Times New Roman" w:hAnsi="Times New Roman" w:cs="Times New Roman"/>
          <w:sz w:val="24"/>
          <w:szCs w:val="24"/>
        </w:rPr>
        <w:t xml:space="preserve">or </w:t>
      </w:r>
      <w:r>
        <w:rPr>
          <w:rFonts w:ascii="Times New Roman" w:hAnsi="Times New Roman" w:cs="Times New Roman"/>
          <w:sz w:val="24"/>
          <w:szCs w:val="24"/>
        </w:rPr>
        <w:t xml:space="preserve">comments </w:t>
      </w:r>
      <w:r>
        <w:rPr>
          <w:rFonts w:ascii="Times New Roman" w:hAnsi="Times New Roman" w:cs="Times New Roman"/>
          <w:sz w:val="24"/>
          <w:szCs w:val="24"/>
        </w:rPr>
        <w:t>on their fa</w:t>
      </w:r>
      <w:r>
        <w:rPr>
          <w:rFonts w:ascii="Times New Roman" w:hAnsi="Times New Roman" w:cs="Times New Roman"/>
          <w:sz w:val="24"/>
          <w:szCs w:val="24"/>
        </w:rPr>
        <w:t>mily and friends’</w:t>
      </w:r>
      <w:r>
        <w:rPr>
          <w:rFonts w:ascii="Times New Roman" w:hAnsi="Times New Roman" w:cs="Times New Roman"/>
          <w:sz w:val="24"/>
          <w:szCs w:val="24"/>
        </w:rPr>
        <w:t xml:space="preserve"> posts</w:t>
      </w:r>
      <w:r>
        <w:rPr>
          <w:rFonts w:ascii="Times New Roman" w:hAnsi="Times New Roman" w:cs="Times New Roman"/>
          <w:sz w:val="24"/>
          <w:szCs w:val="24"/>
        </w:rPr>
        <w:t xml:space="preserve">, </w:t>
      </w:r>
      <w:r>
        <w:rPr>
          <w:rFonts w:ascii="Times New Roman" w:hAnsi="Times New Roman" w:cs="Times New Roman"/>
          <w:sz w:val="24"/>
          <w:szCs w:val="24"/>
        </w:rPr>
        <w:t>pages</w:t>
      </w:r>
      <w:r>
        <w:rPr>
          <w:rFonts w:ascii="Times New Roman" w:hAnsi="Times New Roman" w:cs="Times New Roman"/>
          <w:sz w:val="24"/>
          <w:szCs w:val="24"/>
        </w:rPr>
        <w:t xml:space="preserve">, or comments </w:t>
      </w:r>
      <w:r>
        <w:rPr>
          <w:rFonts w:ascii="Times New Roman" w:hAnsi="Times New Roman" w:cs="Times New Roman"/>
          <w:sz w:val="24"/>
          <w:szCs w:val="24"/>
        </w:rPr>
        <w:t xml:space="preserve">or </w:t>
      </w:r>
      <w:r>
        <w:rPr>
          <w:rFonts w:ascii="Times New Roman" w:hAnsi="Times New Roman" w:cs="Times New Roman"/>
          <w:sz w:val="24"/>
          <w:szCs w:val="24"/>
        </w:rPr>
        <w:t>“</w:t>
      </w:r>
      <w:r>
        <w:rPr>
          <w:rFonts w:ascii="Times New Roman" w:hAnsi="Times New Roman" w:cs="Times New Roman"/>
          <w:sz w:val="24"/>
          <w:szCs w:val="24"/>
        </w:rPr>
        <w:t>likes</w:t>
      </w:r>
      <w:r>
        <w:rPr>
          <w:rFonts w:ascii="Times New Roman" w:hAnsi="Times New Roman" w:cs="Times New Roman"/>
          <w:sz w:val="24"/>
          <w:szCs w:val="24"/>
        </w:rPr>
        <w:t>”</w:t>
      </w:r>
      <w:r>
        <w:rPr>
          <w:rFonts w:ascii="Times New Roman" w:hAnsi="Times New Roman" w:cs="Times New Roman"/>
          <w:sz w:val="24"/>
          <w:szCs w:val="24"/>
        </w:rPr>
        <w:t xml:space="preserve"> on each other’s posts</w:t>
      </w:r>
      <w:r>
        <w:rPr>
          <w:rFonts w:ascii="Times New Roman" w:hAnsi="Times New Roman" w:cs="Times New Roman"/>
          <w:sz w:val="24"/>
          <w:szCs w:val="24"/>
        </w:rPr>
        <w:t xml:space="preserve">. </w:t>
      </w:r>
    </w:p>
    <w:p w:rsidR="00E32F7D" w:rsidRDefault="00FA2DFB" w:rsidP="00CA03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6.   Travel/vacation together.</w:t>
      </w:r>
    </w:p>
    <w:p w:rsidR="00E32F7D" w:rsidRDefault="00FA2DFB" w:rsidP="00CA03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Photographs together. </w:t>
      </w:r>
    </w:p>
    <w:p w:rsidR="00E32F7D" w:rsidRDefault="00FA2DFB" w:rsidP="00CA03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Din</w:t>
      </w:r>
      <w:r>
        <w:rPr>
          <w:rFonts w:ascii="Times New Roman" w:hAnsi="Times New Roman" w:cs="Times New Roman"/>
          <w:sz w:val="24"/>
          <w:szCs w:val="24"/>
        </w:rPr>
        <w:t>ing</w:t>
      </w:r>
      <w:r>
        <w:rPr>
          <w:rFonts w:ascii="Times New Roman" w:hAnsi="Times New Roman" w:cs="Times New Roman"/>
          <w:sz w:val="24"/>
          <w:szCs w:val="24"/>
        </w:rPr>
        <w:t xml:space="preserve"> out together. </w:t>
      </w:r>
    </w:p>
    <w:p w:rsidR="00E32F7D" w:rsidRDefault="00FA2DFB" w:rsidP="00CA03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Public </w:t>
      </w:r>
      <w:r>
        <w:rPr>
          <w:rFonts w:ascii="Times New Roman" w:hAnsi="Times New Roman" w:cs="Times New Roman"/>
          <w:sz w:val="24"/>
          <w:szCs w:val="24"/>
        </w:rPr>
        <w:t>displays of affection</w:t>
      </w:r>
    </w:p>
    <w:p w:rsidR="00E32F7D" w:rsidRDefault="00FA2DFB" w:rsidP="00CA03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The relationship is k</w:t>
      </w:r>
      <w:r>
        <w:rPr>
          <w:rFonts w:ascii="Times New Roman" w:hAnsi="Times New Roman" w:cs="Times New Roman"/>
          <w:sz w:val="24"/>
          <w:szCs w:val="24"/>
        </w:rPr>
        <w:t>nown by neighbors.</w:t>
      </w:r>
    </w:p>
    <w:p w:rsidR="00E32F7D" w:rsidRDefault="00FA2DFB" w:rsidP="00CA03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Exchanging or owning </w:t>
      </w:r>
      <w:r>
        <w:rPr>
          <w:rFonts w:ascii="Times New Roman" w:hAnsi="Times New Roman" w:cs="Times New Roman"/>
          <w:sz w:val="24"/>
          <w:szCs w:val="24"/>
        </w:rPr>
        <w:t xml:space="preserve">jewelry symbolizing commitment. </w:t>
      </w:r>
    </w:p>
    <w:p w:rsidR="00E32F7D" w:rsidRDefault="00FA2DFB" w:rsidP="00CA03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Meaningful or mutual tattoos.</w:t>
      </w:r>
    </w:p>
    <w:p w:rsidR="00E32F7D" w:rsidRDefault="00FA2DFB" w:rsidP="00CA03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 special i</w:t>
      </w:r>
      <w:r>
        <w:rPr>
          <w:rFonts w:ascii="Times New Roman" w:hAnsi="Times New Roman" w:cs="Times New Roman"/>
          <w:sz w:val="24"/>
          <w:szCs w:val="24"/>
        </w:rPr>
        <w:t xml:space="preserve">dentification or label in each other’s phone. </w:t>
      </w:r>
    </w:p>
    <w:p w:rsidR="00E32F7D" w:rsidRDefault="00FA2DFB" w:rsidP="00CA03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Promot</w:t>
      </w:r>
      <w:r>
        <w:rPr>
          <w:rFonts w:ascii="Times New Roman" w:hAnsi="Times New Roman" w:cs="Times New Roman"/>
          <w:sz w:val="24"/>
          <w:szCs w:val="24"/>
        </w:rPr>
        <w:t>ion of</w:t>
      </w:r>
      <w:r>
        <w:rPr>
          <w:rFonts w:ascii="Times New Roman" w:hAnsi="Times New Roman" w:cs="Times New Roman"/>
          <w:sz w:val="24"/>
          <w:szCs w:val="24"/>
        </w:rPr>
        <w:t xml:space="preserve"> the o</w:t>
      </w:r>
      <w:r>
        <w:rPr>
          <w:rFonts w:ascii="Times New Roman" w:hAnsi="Times New Roman" w:cs="Times New Roman"/>
          <w:sz w:val="24"/>
          <w:szCs w:val="24"/>
        </w:rPr>
        <w:t xml:space="preserve">ther’s business on social media. </w:t>
      </w:r>
    </w:p>
    <w:p w:rsidR="00E32F7D" w:rsidRDefault="00FA2DFB" w:rsidP="00CA03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Attend</w:t>
      </w:r>
      <w:r>
        <w:rPr>
          <w:rFonts w:ascii="Times New Roman" w:hAnsi="Times New Roman" w:cs="Times New Roman"/>
          <w:sz w:val="24"/>
          <w:szCs w:val="24"/>
        </w:rPr>
        <w:t>ance at</w:t>
      </w:r>
      <w:r>
        <w:rPr>
          <w:rFonts w:ascii="Times New Roman" w:hAnsi="Times New Roman" w:cs="Times New Roman"/>
          <w:sz w:val="24"/>
          <w:szCs w:val="24"/>
        </w:rPr>
        <w:t xml:space="preserve"> work events or commitments, retreats or conventions. </w:t>
      </w:r>
    </w:p>
    <w:p w:rsidR="00E32F7D" w:rsidRDefault="00FA2DFB" w:rsidP="00CA03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Exercise together - train and run marathons; cross fit training together. </w:t>
      </w:r>
    </w:p>
    <w:p w:rsidR="00E32F7D" w:rsidRDefault="00FA2DFB" w:rsidP="00CA03F3">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Belong to same club or recreational events - photography, painting,</w:t>
      </w:r>
      <w:r>
        <w:rPr>
          <w:rFonts w:ascii="Times New Roman" w:hAnsi="Times New Roman" w:cs="Times New Roman"/>
          <w:sz w:val="24"/>
          <w:szCs w:val="24"/>
        </w:rPr>
        <w:t xml:space="preserve"> hiking clubs, gym memberships. </w:t>
      </w:r>
    </w:p>
    <w:p w:rsidR="00E32F7D" w:rsidRDefault="00FA2DFB" w:rsidP="00CA03F3">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Attend sporting events</w:t>
      </w:r>
      <w:r>
        <w:rPr>
          <w:rFonts w:ascii="Times New Roman" w:hAnsi="Times New Roman" w:cs="Times New Roman"/>
          <w:sz w:val="24"/>
          <w:szCs w:val="24"/>
        </w:rPr>
        <w:t xml:space="preserve"> together</w:t>
      </w:r>
      <w:r>
        <w:rPr>
          <w:rFonts w:ascii="Times New Roman" w:hAnsi="Times New Roman" w:cs="Times New Roman"/>
          <w:sz w:val="24"/>
          <w:szCs w:val="24"/>
        </w:rPr>
        <w:t>; adopt an allegiance to the other’s alma mater or favorite team.</w:t>
      </w:r>
    </w:p>
    <w:p w:rsidR="00E32F7D" w:rsidRDefault="00E32F7D">
      <w:pPr>
        <w:spacing w:after="0" w:line="240" w:lineRule="auto"/>
        <w:ind w:left="720" w:hanging="360"/>
        <w:rPr>
          <w:rFonts w:ascii="Times New Roman" w:hAnsi="Times New Roman" w:cs="Times New Roman"/>
          <w:sz w:val="24"/>
          <w:szCs w:val="24"/>
        </w:rPr>
      </w:pPr>
    </w:p>
    <w:p w:rsidR="00E32F7D" w:rsidRDefault="00FA2DFB" w:rsidP="00FA2DFB">
      <w:pPr>
        <w:jc w:val="both"/>
        <w:rPr>
          <w:rFonts w:ascii="Times New Roman" w:hAnsi="Times New Roman" w:cs="Times New Roman"/>
          <w:sz w:val="24"/>
          <w:szCs w:val="24"/>
        </w:rPr>
      </w:pPr>
      <w:r>
        <w:rPr>
          <w:rFonts w:ascii="Times New Roman" w:hAnsi="Times New Roman" w:cs="Times New Roman"/>
          <w:b/>
          <w:bCs/>
          <w:sz w:val="24"/>
          <w:szCs w:val="24"/>
          <w:u w:val="single"/>
        </w:rPr>
        <w:t>FACTOR 4</w:t>
      </w:r>
      <w:r>
        <w:rPr>
          <w:rFonts w:ascii="Times New Roman" w:hAnsi="Times New Roman" w:cs="Times New Roman"/>
          <w:sz w:val="24"/>
          <w:szCs w:val="24"/>
          <w:u w:val="single"/>
        </w:rPr>
        <w:t xml:space="preserve">: Living together, the frequency of contact, the duration of the relationship and other indicia of a </w:t>
      </w:r>
      <w:r>
        <w:rPr>
          <w:rFonts w:ascii="Times New Roman" w:hAnsi="Times New Roman" w:cs="Times New Roman"/>
          <w:sz w:val="24"/>
          <w:szCs w:val="24"/>
          <w:u w:val="single"/>
        </w:rPr>
        <w:t>mutually supportive intimate personal relationship.</w:t>
      </w:r>
      <w:r>
        <w:rPr>
          <w:rFonts w:ascii="Times New Roman" w:hAnsi="Times New Roman" w:cs="Times New Roman"/>
          <w:sz w:val="24"/>
          <w:szCs w:val="24"/>
        </w:rPr>
        <w:t xml:space="preserve"> Prior to the 2014 amendment of the statute, many believed counting overnights was the only way to prove cohabitation. While overnights are relevant, there are many other things to look for in assessing th</w:t>
      </w:r>
      <w:r>
        <w:rPr>
          <w:rFonts w:ascii="Times New Roman" w:hAnsi="Times New Roman" w:cs="Times New Roman"/>
          <w:sz w:val="24"/>
          <w:szCs w:val="24"/>
        </w:rPr>
        <w:t xml:space="preserve">is factor and cohabitation as a whole. </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Possess keys </w:t>
      </w:r>
      <w:r>
        <w:rPr>
          <w:rFonts w:ascii="Times New Roman" w:hAnsi="Times New Roman" w:cs="Times New Roman"/>
          <w:sz w:val="24"/>
          <w:szCs w:val="24"/>
        </w:rPr>
        <w:t>or the garage code</w:t>
      </w:r>
      <w:r>
        <w:rPr>
          <w:rFonts w:ascii="Times New Roman" w:hAnsi="Times New Roman" w:cs="Times New Roman"/>
          <w:sz w:val="24"/>
          <w:szCs w:val="24"/>
        </w:rPr>
        <w:t xml:space="preserve"> to the </w:t>
      </w:r>
      <w:r>
        <w:rPr>
          <w:rFonts w:ascii="Times New Roman" w:hAnsi="Times New Roman" w:cs="Times New Roman"/>
          <w:sz w:val="24"/>
          <w:szCs w:val="24"/>
        </w:rPr>
        <w:t xml:space="preserve">other’s </w:t>
      </w:r>
      <w:r>
        <w:rPr>
          <w:rFonts w:ascii="Times New Roman" w:hAnsi="Times New Roman" w:cs="Times New Roman"/>
          <w:sz w:val="24"/>
          <w:szCs w:val="24"/>
        </w:rPr>
        <w:t>residence</w:t>
      </w:r>
      <w:r>
        <w:rPr>
          <w:rFonts w:ascii="Times New Roman" w:hAnsi="Times New Roman" w:cs="Times New Roman"/>
          <w:sz w:val="24"/>
          <w:szCs w:val="24"/>
        </w:rPr>
        <w:t xml:space="preserve">. </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Present at residence, when the other is not home.</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Leaves</w:t>
      </w:r>
      <w:r>
        <w:rPr>
          <w:rFonts w:ascii="Times New Roman" w:hAnsi="Times New Roman" w:cs="Times New Roman"/>
          <w:sz w:val="24"/>
          <w:szCs w:val="24"/>
        </w:rPr>
        <w:t xml:space="preserve"> personal belongings at the </w:t>
      </w:r>
      <w:r>
        <w:rPr>
          <w:rFonts w:ascii="Times New Roman" w:hAnsi="Times New Roman" w:cs="Times New Roman"/>
          <w:sz w:val="24"/>
          <w:szCs w:val="24"/>
        </w:rPr>
        <w:t xml:space="preserve">other’s </w:t>
      </w:r>
      <w:r>
        <w:rPr>
          <w:rFonts w:ascii="Times New Roman" w:hAnsi="Times New Roman" w:cs="Times New Roman"/>
          <w:sz w:val="24"/>
          <w:szCs w:val="24"/>
        </w:rPr>
        <w:t>house.</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Owns or shares a pet </w:t>
      </w:r>
      <w:r w:rsidRPr="00CA03F3">
        <w:rPr>
          <w:rFonts w:ascii="Times New Roman" w:hAnsi="Times New Roman" w:cs="Times New Roman"/>
          <w:sz w:val="24"/>
          <w:szCs w:val="24"/>
          <w:u w:val="single"/>
        </w:rPr>
        <w:t xml:space="preserve">together </w:t>
      </w:r>
      <w:r>
        <w:rPr>
          <w:rFonts w:ascii="Times New Roman" w:hAnsi="Times New Roman" w:cs="Times New Roman"/>
          <w:sz w:val="24"/>
          <w:szCs w:val="24"/>
        </w:rPr>
        <w:t>or takes care of the other’s pet.</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Shares a car, car insurance or cell phone plan, listed as a driver on car insurance policy.</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Renovate or improve the home or living space. </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Run</w:t>
      </w:r>
      <w:r>
        <w:rPr>
          <w:rFonts w:ascii="Times New Roman" w:hAnsi="Times New Roman" w:cs="Times New Roman"/>
          <w:sz w:val="24"/>
          <w:szCs w:val="24"/>
        </w:rPr>
        <w:t>s</w:t>
      </w:r>
      <w:r>
        <w:rPr>
          <w:rFonts w:ascii="Times New Roman" w:hAnsi="Times New Roman" w:cs="Times New Roman"/>
          <w:sz w:val="24"/>
          <w:szCs w:val="24"/>
        </w:rPr>
        <w:t xml:space="preserve"> errands - grocery store, dry cleaners, drug stor</w:t>
      </w:r>
      <w:r>
        <w:rPr>
          <w:rFonts w:ascii="Times New Roman" w:hAnsi="Times New Roman" w:cs="Times New Roman"/>
          <w:sz w:val="24"/>
          <w:szCs w:val="24"/>
        </w:rPr>
        <w:t xml:space="preserve">e. </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Transports children to school or activities. </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Stays alone with the other’s children.</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Attends classes together - CPR class; classes at the gym or other recreational events including studying a foreign language together. </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Cell phone records show</w:t>
      </w:r>
      <w:r>
        <w:rPr>
          <w:rFonts w:ascii="Times New Roman" w:hAnsi="Times New Roman" w:cs="Times New Roman"/>
          <w:sz w:val="24"/>
          <w:szCs w:val="24"/>
        </w:rPr>
        <w:t>ing</w:t>
      </w:r>
      <w:r>
        <w:rPr>
          <w:rFonts w:ascii="Times New Roman" w:hAnsi="Times New Roman" w:cs="Times New Roman"/>
          <w:sz w:val="24"/>
          <w:szCs w:val="24"/>
        </w:rPr>
        <w:t xml:space="preserve"> frequ</w:t>
      </w:r>
      <w:r>
        <w:rPr>
          <w:rFonts w:ascii="Times New Roman" w:hAnsi="Times New Roman" w:cs="Times New Roman"/>
          <w:sz w:val="24"/>
          <w:szCs w:val="24"/>
        </w:rPr>
        <w:t>ent calls or text messages. Cellular records show</w:t>
      </w:r>
      <w:r>
        <w:rPr>
          <w:rFonts w:ascii="Times New Roman" w:hAnsi="Times New Roman" w:cs="Times New Roman"/>
          <w:sz w:val="24"/>
          <w:szCs w:val="24"/>
        </w:rPr>
        <w:t>ing</w:t>
      </w:r>
      <w:r>
        <w:rPr>
          <w:rFonts w:ascii="Times New Roman" w:hAnsi="Times New Roman" w:cs="Times New Roman"/>
          <w:sz w:val="24"/>
          <w:szCs w:val="24"/>
        </w:rPr>
        <w:t xml:space="preserve"> both phones </w:t>
      </w:r>
      <w:r>
        <w:rPr>
          <w:rFonts w:ascii="Times New Roman" w:hAnsi="Times New Roman" w:cs="Times New Roman"/>
          <w:sz w:val="24"/>
          <w:szCs w:val="24"/>
        </w:rPr>
        <w:t xml:space="preserve">in the same place at frequent and various time-periods, especially overnight. </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Listed as an emergency contact with children’s school or medical providers. </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Plays an active role in the children’s schooling or medical care. Communicates with teachers, day care professionals or medical providers. </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Attends medical appointments for each o</w:t>
      </w:r>
      <w:r>
        <w:rPr>
          <w:rFonts w:ascii="Times New Roman" w:hAnsi="Times New Roman" w:cs="Times New Roman"/>
          <w:sz w:val="24"/>
          <w:szCs w:val="24"/>
        </w:rPr>
        <w:t xml:space="preserve">ther and </w:t>
      </w:r>
      <w:r>
        <w:rPr>
          <w:rFonts w:ascii="Times New Roman" w:hAnsi="Times New Roman" w:cs="Times New Roman"/>
          <w:sz w:val="24"/>
          <w:szCs w:val="24"/>
        </w:rPr>
        <w:t xml:space="preserve">their </w:t>
      </w:r>
      <w:r>
        <w:rPr>
          <w:rFonts w:ascii="Times New Roman" w:hAnsi="Times New Roman" w:cs="Times New Roman"/>
          <w:sz w:val="24"/>
          <w:szCs w:val="24"/>
        </w:rPr>
        <w:t>children.</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Attend</w:t>
      </w:r>
      <w:r>
        <w:rPr>
          <w:rFonts w:ascii="Times New Roman" w:hAnsi="Times New Roman" w:cs="Times New Roman"/>
          <w:sz w:val="24"/>
          <w:szCs w:val="24"/>
        </w:rPr>
        <w:t>s</w:t>
      </w:r>
      <w:r>
        <w:rPr>
          <w:rFonts w:ascii="Times New Roman" w:hAnsi="Times New Roman" w:cs="Times New Roman"/>
          <w:sz w:val="24"/>
          <w:szCs w:val="24"/>
        </w:rPr>
        <w:t xml:space="preserve"> IEP or 504 meetings for the children.</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Volunteers together for a worthy cause.</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Receives bills/mail at the other’s residence. </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Listed as mail recipient </w:t>
      </w:r>
      <w:r>
        <w:rPr>
          <w:rFonts w:ascii="Times New Roman" w:hAnsi="Times New Roman" w:cs="Times New Roman"/>
          <w:sz w:val="24"/>
          <w:szCs w:val="24"/>
        </w:rPr>
        <w:t xml:space="preserve">or authorized </w:t>
      </w:r>
      <w:r>
        <w:rPr>
          <w:rFonts w:ascii="Times New Roman" w:hAnsi="Times New Roman" w:cs="Times New Roman"/>
          <w:sz w:val="24"/>
          <w:szCs w:val="24"/>
        </w:rPr>
        <w:t xml:space="preserve">person </w:t>
      </w:r>
      <w:r>
        <w:rPr>
          <w:rFonts w:ascii="Times New Roman" w:hAnsi="Times New Roman" w:cs="Times New Roman"/>
          <w:sz w:val="24"/>
          <w:szCs w:val="24"/>
        </w:rPr>
        <w:t xml:space="preserve">to discuss </w:t>
      </w:r>
      <w:r>
        <w:rPr>
          <w:rFonts w:ascii="Times New Roman" w:hAnsi="Times New Roman" w:cs="Times New Roman"/>
          <w:sz w:val="24"/>
          <w:szCs w:val="24"/>
        </w:rPr>
        <w:t xml:space="preserve">issues regarding </w:t>
      </w:r>
      <w:r>
        <w:rPr>
          <w:rFonts w:ascii="Times New Roman" w:hAnsi="Times New Roman" w:cs="Times New Roman"/>
          <w:sz w:val="24"/>
          <w:szCs w:val="24"/>
        </w:rPr>
        <w:t xml:space="preserve">the other’s bills. </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 xml:space="preserve">hares </w:t>
      </w:r>
      <w:r>
        <w:rPr>
          <w:rFonts w:ascii="Times New Roman" w:hAnsi="Times New Roman" w:cs="Times New Roman"/>
          <w:sz w:val="24"/>
          <w:szCs w:val="24"/>
        </w:rPr>
        <w:t xml:space="preserve">intimate </w:t>
      </w:r>
      <w:r>
        <w:rPr>
          <w:rFonts w:ascii="Times New Roman" w:hAnsi="Times New Roman" w:cs="Times New Roman"/>
          <w:sz w:val="24"/>
          <w:szCs w:val="24"/>
        </w:rPr>
        <w:t xml:space="preserve">holiday or greeting cards. </w:t>
      </w:r>
    </w:p>
    <w:p w:rsidR="00E32F7D" w:rsidRDefault="00FA2DFB" w:rsidP="00FA2D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Switches to places of business local to the other</w:t>
      </w:r>
      <w:r>
        <w:rPr>
          <w:rFonts w:ascii="Times New Roman" w:hAnsi="Times New Roman" w:cs="Times New Roman"/>
          <w:sz w:val="24"/>
          <w:szCs w:val="24"/>
        </w:rPr>
        <w:t>’s home</w:t>
      </w:r>
      <w:r>
        <w:rPr>
          <w:rFonts w:ascii="Times New Roman" w:hAnsi="Times New Roman" w:cs="Times New Roman"/>
          <w:sz w:val="24"/>
          <w:szCs w:val="24"/>
        </w:rPr>
        <w:t xml:space="preserve"> (</w:t>
      </w:r>
      <w:r>
        <w:rPr>
          <w:rFonts w:ascii="Times New Roman" w:hAnsi="Times New Roman" w:cs="Times New Roman"/>
          <w:sz w:val="24"/>
          <w:szCs w:val="24"/>
        </w:rPr>
        <w:t xml:space="preserve">e.g., </w:t>
      </w:r>
      <w:r>
        <w:rPr>
          <w:rFonts w:ascii="Times New Roman" w:hAnsi="Times New Roman" w:cs="Times New Roman"/>
          <w:sz w:val="24"/>
          <w:szCs w:val="24"/>
        </w:rPr>
        <w:t xml:space="preserve">gas stations, grocery stores, restaurants, pharmacy, dry cleaners, hairdresser). </w:t>
      </w:r>
    </w:p>
    <w:p w:rsidR="00E32F7D" w:rsidRDefault="00FA2DFB" w:rsidP="00FA2DFB">
      <w:pPr>
        <w:jc w:val="both"/>
        <w:rPr>
          <w:rFonts w:ascii="Times New Roman" w:hAnsi="Times New Roman" w:cs="Times New Roman"/>
          <w:sz w:val="24"/>
          <w:szCs w:val="24"/>
        </w:rPr>
      </w:pPr>
      <w:r>
        <w:rPr>
          <w:rFonts w:ascii="Times New Roman" w:hAnsi="Times New Roman" w:cs="Times New Roman"/>
          <w:b/>
          <w:bCs/>
          <w:sz w:val="24"/>
          <w:szCs w:val="24"/>
          <w:u w:val="single"/>
        </w:rPr>
        <w:t>FACTOR 5</w:t>
      </w:r>
      <w:r>
        <w:rPr>
          <w:rFonts w:ascii="Times New Roman" w:hAnsi="Times New Roman" w:cs="Times New Roman"/>
          <w:sz w:val="24"/>
          <w:szCs w:val="24"/>
          <w:u w:val="single"/>
        </w:rPr>
        <w:t>: Sharing Household Chores</w:t>
      </w:r>
      <w:r>
        <w:rPr>
          <w:rFonts w:ascii="Times New Roman" w:hAnsi="Times New Roman" w:cs="Times New Roman"/>
          <w:sz w:val="24"/>
          <w:szCs w:val="24"/>
        </w:rPr>
        <w:t>.  Some of these can be observed,</w:t>
      </w:r>
      <w:r>
        <w:rPr>
          <w:rFonts w:ascii="Times New Roman" w:hAnsi="Times New Roman" w:cs="Times New Roman"/>
          <w:sz w:val="24"/>
          <w:szCs w:val="24"/>
        </w:rPr>
        <w:t xml:space="preserve"> but others, which occur within a home, may not be readily ascertainable, </w:t>
      </w:r>
      <w:r>
        <w:rPr>
          <w:rFonts w:ascii="Times New Roman" w:hAnsi="Times New Roman" w:cs="Times New Roman"/>
          <w:sz w:val="24"/>
          <w:szCs w:val="24"/>
        </w:rPr>
        <w:t xml:space="preserve">but </w:t>
      </w:r>
      <w:r>
        <w:rPr>
          <w:rFonts w:ascii="Times New Roman" w:hAnsi="Times New Roman" w:cs="Times New Roman"/>
          <w:sz w:val="24"/>
          <w:szCs w:val="24"/>
        </w:rPr>
        <w:t xml:space="preserve">examined in discovery. </w:t>
      </w:r>
    </w:p>
    <w:p w:rsidR="00E32F7D" w:rsidRDefault="00FA2DFB" w:rsidP="00FA2DF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Shoveling snow, raking leaves, sweeping steps, power washing, cleaning the garage porch, or washing the car, taking cars to a car wash.</w:t>
      </w:r>
    </w:p>
    <w:p w:rsidR="00E32F7D" w:rsidRDefault="00FA2DFB" w:rsidP="00FA2DF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Repairing the home or car or waiting </w:t>
      </w:r>
      <w:r>
        <w:rPr>
          <w:rFonts w:ascii="Times New Roman" w:hAnsi="Times New Roman" w:cs="Times New Roman"/>
          <w:sz w:val="24"/>
          <w:szCs w:val="24"/>
        </w:rPr>
        <w:t xml:space="preserve">for a </w:t>
      </w:r>
      <w:r>
        <w:rPr>
          <w:rFonts w:ascii="Times New Roman" w:hAnsi="Times New Roman" w:cs="Times New Roman"/>
          <w:sz w:val="24"/>
          <w:szCs w:val="24"/>
        </w:rPr>
        <w:t>repair person</w:t>
      </w:r>
      <w:r>
        <w:rPr>
          <w:rFonts w:ascii="Times New Roman" w:hAnsi="Times New Roman" w:cs="Times New Roman"/>
          <w:sz w:val="24"/>
          <w:szCs w:val="24"/>
        </w:rPr>
        <w:t xml:space="preserve"> to arrive.</w:t>
      </w:r>
    </w:p>
    <w:p w:rsidR="00E32F7D" w:rsidRDefault="00FA2DFB" w:rsidP="00FA2DF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Transport</w:t>
      </w:r>
      <w:r>
        <w:rPr>
          <w:rFonts w:ascii="Times New Roman" w:hAnsi="Times New Roman" w:cs="Times New Roman"/>
          <w:sz w:val="24"/>
          <w:szCs w:val="24"/>
        </w:rPr>
        <w:t>s</w:t>
      </w:r>
      <w:r>
        <w:rPr>
          <w:rFonts w:ascii="Times New Roman" w:hAnsi="Times New Roman" w:cs="Times New Roman"/>
          <w:sz w:val="24"/>
          <w:szCs w:val="24"/>
        </w:rPr>
        <w:t xml:space="preserve"> household members (parties’ children, former spouse’s parents or siblings) to events or activities.</w:t>
      </w:r>
    </w:p>
    <w:p w:rsidR="00E32F7D" w:rsidRDefault="00FA2DFB" w:rsidP="00FA2DF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Walk</w:t>
      </w:r>
      <w:r>
        <w:rPr>
          <w:rFonts w:ascii="Times New Roman" w:hAnsi="Times New Roman" w:cs="Times New Roman"/>
          <w:sz w:val="24"/>
          <w:szCs w:val="24"/>
        </w:rPr>
        <w:t>s</w:t>
      </w:r>
      <w:r>
        <w:rPr>
          <w:rFonts w:ascii="Times New Roman" w:hAnsi="Times New Roman" w:cs="Times New Roman"/>
          <w:sz w:val="24"/>
          <w:szCs w:val="24"/>
        </w:rPr>
        <w:t xml:space="preserve"> the dog or taking pets to the vet.</w:t>
      </w:r>
    </w:p>
    <w:p w:rsidR="00E32F7D" w:rsidRDefault="00FA2DFB" w:rsidP="00FA2DF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Clean</w:t>
      </w:r>
      <w:r>
        <w:rPr>
          <w:rFonts w:ascii="Times New Roman" w:hAnsi="Times New Roman" w:cs="Times New Roman"/>
          <w:sz w:val="24"/>
          <w:szCs w:val="24"/>
        </w:rPr>
        <w:t>s</w:t>
      </w:r>
      <w:r>
        <w:rPr>
          <w:rFonts w:ascii="Times New Roman" w:hAnsi="Times New Roman" w:cs="Times New Roman"/>
          <w:sz w:val="24"/>
          <w:szCs w:val="24"/>
        </w:rPr>
        <w:t xml:space="preserve"> the home or hir</w:t>
      </w:r>
      <w:r>
        <w:rPr>
          <w:rFonts w:ascii="Times New Roman" w:hAnsi="Times New Roman" w:cs="Times New Roman"/>
          <w:sz w:val="24"/>
          <w:szCs w:val="24"/>
        </w:rPr>
        <w:t>e a</w:t>
      </w:r>
      <w:r>
        <w:rPr>
          <w:rFonts w:ascii="Times New Roman" w:hAnsi="Times New Roman" w:cs="Times New Roman"/>
          <w:sz w:val="24"/>
          <w:szCs w:val="24"/>
        </w:rPr>
        <w:t>nd pays</w:t>
      </w:r>
      <w:r>
        <w:rPr>
          <w:rFonts w:ascii="Times New Roman" w:hAnsi="Times New Roman" w:cs="Times New Roman"/>
          <w:sz w:val="24"/>
          <w:szCs w:val="24"/>
        </w:rPr>
        <w:t xml:space="preserve"> a</w:t>
      </w:r>
      <w:r>
        <w:rPr>
          <w:rFonts w:ascii="Times New Roman" w:hAnsi="Times New Roman" w:cs="Times New Roman"/>
          <w:sz w:val="24"/>
          <w:szCs w:val="24"/>
        </w:rPr>
        <w:t xml:space="preserve"> housekeeper.</w:t>
      </w:r>
    </w:p>
    <w:p w:rsidR="00E32F7D" w:rsidRDefault="00FA2DFB" w:rsidP="00FA2DF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Performs e</w:t>
      </w:r>
      <w:r>
        <w:rPr>
          <w:rFonts w:ascii="Times New Roman" w:hAnsi="Times New Roman" w:cs="Times New Roman"/>
          <w:sz w:val="24"/>
          <w:szCs w:val="24"/>
        </w:rPr>
        <w:t>veryday chores, like cooking, dishes, cleaning, or laundry.</w:t>
      </w:r>
    </w:p>
    <w:p w:rsidR="00E32F7D" w:rsidRDefault="00FA2DFB" w:rsidP="00FA2DFB">
      <w:pPr>
        <w:jc w:val="both"/>
        <w:rPr>
          <w:rFonts w:ascii="Times New Roman" w:hAnsi="Times New Roman" w:cs="Times New Roman"/>
          <w:sz w:val="24"/>
          <w:szCs w:val="24"/>
        </w:rPr>
      </w:pPr>
      <w:r>
        <w:rPr>
          <w:rFonts w:ascii="Times New Roman" w:hAnsi="Times New Roman" w:cs="Times New Roman"/>
          <w:b/>
          <w:bCs/>
          <w:sz w:val="24"/>
          <w:szCs w:val="24"/>
          <w:u w:val="single"/>
        </w:rPr>
        <w:t>FACTOR 6</w:t>
      </w:r>
      <w:r>
        <w:rPr>
          <w:rFonts w:ascii="Times New Roman" w:hAnsi="Times New Roman" w:cs="Times New Roman"/>
          <w:sz w:val="24"/>
          <w:szCs w:val="24"/>
          <w:u w:val="single"/>
        </w:rPr>
        <w:t>: Enforceable Promise pursuant to subsection h of the Statute of Frauds, N.J.S.A. 25:1-5</w:t>
      </w:r>
      <w:r>
        <w:rPr>
          <w:rFonts w:ascii="Times New Roman" w:hAnsi="Times New Roman" w:cs="Times New Roman"/>
          <w:sz w:val="24"/>
          <w:szCs w:val="24"/>
        </w:rPr>
        <w:t>. This factor relates to promises of support, or palimony,</w:t>
      </w:r>
      <w:r>
        <w:rPr>
          <w:rFonts w:ascii="Times New Roman" w:hAnsi="Times New Roman" w:cs="Times New Roman"/>
          <w:sz w:val="24"/>
          <w:szCs w:val="24"/>
        </w:rPr>
        <w:t xml:space="preserve"> which now requires a written agreement.  The provision states: </w:t>
      </w:r>
    </w:p>
    <w:p w:rsidR="00E32F7D" w:rsidRDefault="00FA2DFB" w:rsidP="00FA2DFB">
      <w:pPr>
        <w:ind w:left="1440" w:right="14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 promise by one party to a non-marital personal relationship to provide support or other consideration for the other party, either during the course of such relationship or after its termina</w:t>
      </w:r>
      <w:r>
        <w:rPr>
          <w:rFonts w:ascii="Times New Roman" w:hAnsi="Times New Roman" w:cs="Times New Roman"/>
          <w:color w:val="000000"/>
          <w:sz w:val="24"/>
          <w:szCs w:val="24"/>
          <w:shd w:val="clear" w:color="auto" w:fill="FFFFFF"/>
        </w:rPr>
        <w:t>tion. For the purposes of this subsection, no such written promise is binding unless it was made with the independent advice of counsel for both parties.</w:t>
      </w:r>
    </w:p>
    <w:p w:rsidR="00E32F7D" w:rsidRDefault="00FA2DFB" w:rsidP="00FA2DFB">
      <w:pPr>
        <w:ind w:right="1440"/>
        <w:jc w:val="both"/>
        <w:rPr>
          <w:rFonts w:ascii="Times New Roman" w:hAnsi="Times New Roman" w:cs="Times New Roman"/>
          <w:sz w:val="24"/>
          <w:szCs w:val="24"/>
        </w:rPr>
      </w:pPr>
      <w:r>
        <w:rPr>
          <w:rFonts w:ascii="Times New Roman" w:hAnsi="Times New Roman" w:cs="Times New Roman"/>
          <w:sz w:val="24"/>
          <w:szCs w:val="24"/>
        </w:rPr>
        <w:t xml:space="preserve">This is very circumscribed and self-explanatory.  </w:t>
      </w:r>
    </w:p>
    <w:p w:rsidR="00E32F7D" w:rsidRDefault="00FA2DFB" w:rsidP="00FA2DFB">
      <w:pPr>
        <w:jc w:val="both"/>
        <w:rPr>
          <w:rFonts w:ascii="Times New Roman" w:hAnsi="Times New Roman" w:cs="Times New Roman"/>
          <w:sz w:val="24"/>
          <w:szCs w:val="24"/>
        </w:rPr>
      </w:pPr>
      <w:r w:rsidRPr="00CA03F3">
        <w:rPr>
          <w:rFonts w:ascii="Times New Roman" w:hAnsi="Times New Roman" w:cs="Times New Roman"/>
          <w:b/>
          <w:bCs/>
          <w:sz w:val="24"/>
          <w:szCs w:val="24"/>
          <w:u w:val="single"/>
        </w:rPr>
        <w:t>FACTOR 7</w:t>
      </w:r>
      <w:r w:rsidRPr="00CA03F3">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All other relevant evidence. This </w:t>
      </w:r>
      <w:r>
        <w:rPr>
          <w:rFonts w:ascii="Times New Roman" w:hAnsi="Times New Roman" w:cs="Times New Roman"/>
          <w:sz w:val="24"/>
          <w:szCs w:val="24"/>
          <w:u w:val="single"/>
        </w:rPr>
        <w:t>factor was included so to give the practitioner wide b</w:t>
      </w:r>
      <w:r>
        <w:rPr>
          <w:rFonts w:ascii="Times New Roman" w:hAnsi="Times New Roman" w:cs="Times New Roman"/>
          <w:sz w:val="24"/>
          <w:szCs w:val="24"/>
          <w:u w:val="single"/>
        </w:rPr>
        <w:t>e</w:t>
      </w:r>
      <w:r>
        <w:rPr>
          <w:rFonts w:ascii="Times New Roman" w:hAnsi="Times New Roman" w:cs="Times New Roman"/>
          <w:sz w:val="24"/>
          <w:szCs w:val="24"/>
          <w:u w:val="single"/>
        </w:rPr>
        <w:t xml:space="preserve">rth in crafting arguments and obtaining proof of cohabitation. While factors 1 through 6 are guideposts as to the analysis, they certainly are not all inclusive. The sole analysis </w:t>
      </w:r>
      <w:r>
        <w:rPr>
          <w:rFonts w:ascii="Times New Roman" w:hAnsi="Times New Roman" w:cs="Times New Roman"/>
          <w:sz w:val="24"/>
          <w:szCs w:val="24"/>
          <w:u w:val="single"/>
        </w:rPr>
        <w:t>in assessing cohabita</w:t>
      </w:r>
      <w:r>
        <w:rPr>
          <w:rFonts w:ascii="Times New Roman" w:hAnsi="Times New Roman" w:cs="Times New Roman"/>
          <w:sz w:val="24"/>
          <w:szCs w:val="24"/>
          <w:u w:val="single"/>
        </w:rPr>
        <w:t xml:space="preserve">tion </w:t>
      </w:r>
      <w:r>
        <w:rPr>
          <w:rFonts w:ascii="Times New Roman" w:hAnsi="Times New Roman" w:cs="Times New Roman"/>
          <w:sz w:val="24"/>
          <w:szCs w:val="24"/>
          <w:u w:val="single"/>
        </w:rPr>
        <w:t xml:space="preserve">is whether </w:t>
      </w:r>
      <w:r>
        <w:rPr>
          <w:rFonts w:ascii="Times New Roman" w:hAnsi="Times New Roman" w:cs="Times New Roman"/>
          <w:sz w:val="24"/>
          <w:szCs w:val="24"/>
          <w:u w:val="single"/>
        </w:rPr>
        <w:t>the couple is engaged in a mutually supportive</w:t>
      </w:r>
      <w:r>
        <w:rPr>
          <w:rFonts w:ascii="Times New Roman" w:hAnsi="Times New Roman" w:cs="Times New Roman"/>
          <w:sz w:val="24"/>
          <w:szCs w:val="24"/>
          <w:u w:val="single"/>
        </w:rPr>
        <w:t>,</w:t>
      </w:r>
      <w:r>
        <w:rPr>
          <w:rFonts w:ascii="Times New Roman" w:hAnsi="Times New Roman" w:cs="Times New Roman"/>
          <w:sz w:val="24"/>
          <w:szCs w:val="24"/>
          <w:u w:val="single"/>
        </w:rPr>
        <w:t xml:space="preserve"> intimate</w:t>
      </w:r>
      <w:r>
        <w:rPr>
          <w:rFonts w:ascii="Times New Roman" w:hAnsi="Times New Roman" w:cs="Times New Roman"/>
          <w:sz w:val="24"/>
          <w:szCs w:val="24"/>
          <w:u w:val="single"/>
        </w:rPr>
        <w:t>,</w:t>
      </w:r>
      <w:r>
        <w:rPr>
          <w:rFonts w:ascii="Times New Roman" w:hAnsi="Times New Roman" w:cs="Times New Roman"/>
          <w:sz w:val="24"/>
          <w:szCs w:val="24"/>
          <w:u w:val="single"/>
        </w:rPr>
        <w:t xml:space="preserve"> personal relationship. While </w:t>
      </w:r>
      <w:r>
        <w:rPr>
          <w:rFonts w:ascii="Times New Roman" w:hAnsi="Times New Roman" w:cs="Times New Roman"/>
          <w:sz w:val="24"/>
          <w:szCs w:val="24"/>
          <w:u w:val="single"/>
        </w:rPr>
        <w:t>the first six factors are</w:t>
      </w:r>
      <w:r>
        <w:rPr>
          <w:rFonts w:ascii="Times New Roman" w:hAnsi="Times New Roman" w:cs="Times New Roman"/>
          <w:sz w:val="24"/>
          <w:szCs w:val="24"/>
          <w:u w:val="single"/>
        </w:rPr>
        <w:t xml:space="preserve"> considered in </w:t>
      </w:r>
      <w:r>
        <w:rPr>
          <w:rFonts w:ascii="Times New Roman" w:hAnsi="Times New Roman" w:cs="Times New Roman"/>
          <w:sz w:val="24"/>
          <w:szCs w:val="24"/>
          <w:u w:val="single"/>
        </w:rPr>
        <w:t>evaluating</w:t>
      </w:r>
      <w:r>
        <w:rPr>
          <w:rFonts w:ascii="Times New Roman" w:hAnsi="Times New Roman" w:cs="Times New Roman"/>
          <w:sz w:val="24"/>
          <w:szCs w:val="24"/>
          <w:u w:val="single"/>
        </w:rPr>
        <w:t xml:space="preserve"> whether </w:t>
      </w:r>
      <w:r>
        <w:rPr>
          <w:rFonts w:ascii="Times New Roman" w:hAnsi="Times New Roman" w:cs="Times New Roman"/>
          <w:sz w:val="24"/>
          <w:szCs w:val="24"/>
          <w:u w:val="single"/>
        </w:rPr>
        <w:t xml:space="preserve">this threshold </w:t>
      </w:r>
      <w:r>
        <w:rPr>
          <w:rFonts w:ascii="Times New Roman" w:hAnsi="Times New Roman" w:cs="Times New Roman"/>
          <w:sz w:val="24"/>
          <w:szCs w:val="24"/>
          <w:u w:val="single"/>
        </w:rPr>
        <w:t>is</w:t>
      </w:r>
      <w:r>
        <w:rPr>
          <w:rFonts w:ascii="Times New Roman" w:hAnsi="Times New Roman" w:cs="Times New Roman"/>
          <w:sz w:val="24"/>
          <w:szCs w:val="24"/>
          <w:u w:val="single"/>
        </w:rPr>
        <w:t xml:space="preserve"> met</w:t>
      </w:r>
      <w:r>
        <w:rPr>
          <w:rFonts w:ascii="Times New Roman" w:hAnsi="Times New Roman" w:cs="Times New Roman"/>
          <w:sz w:val="24"/>
          <w:szCs w:val="24"/>
          <w:u w:val="single"/>
        </w:rPr>
        <w:t>,</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a</w:t>
      </w:r>
      <w:r>
        <w:rPr>
          <w:rFonts w:ascii="Times New Roman" w:hAnsi="Times New Roman" w:cs="Times New Roman"/>
          <w:sz w:val="24"/>
          <w:szCs w:val="24"/>
          <w:u w:val="single"/>
        </w:rPr>
        <w:t>ny and all</w:t>
      </w:r>
      <w:proofErr w:type="gramEnd"/>
      <w:r>
        <w:rPr>
          <w:rFonts w:ascii="Times New Roman" w:hAnsi="Times New Roman" w:cs="Times New Roman"/>
          <w:sz w:val="24"/>
          <w:szCs w:val="24"/>
          <w:u w:val="single"/>
        </w:rPr>
        <w:t xml:space="preserve"> other relevant evidence </w:t>
      </w:r>
      <w:r>
        <w:rPr>
          <w:rFonts w:ascii="Times New Roman" w:hAnsi="Times New Roman" w:cs="Times New Roman"/>
          <w:sz w:val="24"/>
          <w:szCs w:val="24"/>
          <w:u w:val="single"/>
        </w:rPr>
        <w:t xml:space="preserve">in each and every particular case </w:t>
      </w:r>
      <w:r>
        <w:rPr>
          <w:rFonts w:ascii="Times New Roman" w:hAnsi="Times New Roman" w:cs="Times New Roman"/>
          <w:sz w:val="24"/>
          <w:szCs w:val="24"/>
          <w:u w:val="single"/>
        </w:rPr>
        <w:t>must also be considered.</w:t>
      </w:r>
    </w:p>
    <w:p w:rsidR="00E32F7D" w:rsidRDefault="00FA2DFB" w:rsidP="00FA2DFB">
      <w:pPr>
        <w:jc w:val="both"/>
        <w:rPr>
          <w:rFonts w:ascii="Times New Roman" w:hAnsi="Times New Roman" w:cs="Times New Roman"/>
          <w:sz w:val="24"/>
          <w:szCs w:val="24"/>
        </w:rPr>
      </w:pPr>
      <w:r>
        <w:rPr>
          <w:rFonts w:ascii="Times New Roman" w:hAnsi="Times New Roman" w:cs="Times New Roman"/>
          <w:sz w:val="24"/>
          <w:szCs w:val="24"/>
        </w:rPr>
        <w:t xml:space="preserve">Although not labeled as such, the closing provisions of </w:t>
      </w:r>
      <w:r>
        <w:rPr>
          <w:rFonts w:ascii="Times New Roman" w:hAnsi="Times New Roman" w:cs="Times New Roman"/>
          <w:sz w:val="24"/>
          <w:szCs w:val="24"/>
        </w:rPr>
        <w:t>su</w:t>
      </w:r>
      <w:r w:rsidR="00CA03F3">
        <w:rPr>
          <w:rFonts w:ascii="Times New Roman" w:hAnsi="Times New Roman" w:cs="Times New Roman"/>
          <w:sz w:val="24"/>
          <w:szCs w:val="24"/>
        </w:rPr>
        <w:t>b</w:t>
      </w:r>
      <w:r>
        <w:rPr>
          <w:rFonts w:ascii="Times New Roman" w:hAnsi="Times New Roman" w:cs="Times New Roman"/>
          <w:sz w:val="24"/>
          <w:szCs w:val="24"/>
        </w:rPr>
        <w:t xml:space="preserve">section </w:t>
      </w:r>
      <w:r>
        <w:rPr>
          <w:rFonts w:ascii="Times New Roman" w:hAnsi="Times New Roman" w:cs="Times New Roman"/>
          <w:sz w:val="24"/>
          <w:szCs w:val="24"/>
        </w:rPr>
        <w:t>(n) add two important considerations when evaluating whether cohabitation is occurring</w:t>
      </w:r>
      <w:r>
        <w:rPr>
          <w:rFonts w:ascii="Times New Roman" w:hAnsi="Times New Roman" w:cs="Times New Roman"/>
          <w:sz w:val="24"/>
          <w:szCs w:val="24"/>
        </w:rPr>
        <w:t xml:space="preserve"> </w:t>
      </w:r>
      <w:r>
        <w:rPr>
          <w:rFonts w:ascii="Times New Roman" w:hAnsi="Times New Roman" w:cs="Times New Roman"/>
          <w:sz w:val="24"/>
          <w:szCs w:val="24"/>
        </w:rPr>
        <w:t>and whether alimon</w:t>
      </w:r>
      <w:r>
        <w:rPr>
          <w:rFonts w:ascii="Times New Roman" w:hAnsi="Times New Roman" w:cs="Times New Roman"/>
          <w:sz w:val="24"/>
          <w:szCs w:val="24"/>
        </w:rPr>
        <w:t xml:space="preserve">y should be suspended to terminated.  First, the length of the relationship.  This suggests it may take some time to gather proofs of the type of “mutually supportive, intimate personal relationship in which the couple has undertaken duties and privileges </w:t>
      </w:r>
      <w:r>
        <w:rPr>
          <w:rFonts w:ascii="Times New Roman" w:hAnsi="Times New Roman" w:cs="Times New Roman"/>
          <w:sz w:val="24"/>
          <w:szCs w:val="24"/>
        </w:rPr>
        <w:t xml:space="preserve">that are commonly associated with marriage or civil union. . . .” </w:t>
      </w:r>
      <w:r>
        <w:rPr>
          <w:rFonts w:ascii="Times New Roman" w:hAnsi="Times New Roman" w:cs="Times New Roman"/>
          <w:sz w:val="24"/>
          <w:szCs w:val="24"/>
          <w:u w:val="single"/>
        </w:rPr>
        <w:t>See</w:t>
      </w:r>
      <w:r>
        <w:rPr>
          <w:rFonts w:ascii="Times New Roman" w:hAnsi="Times New Roman" w:cs="Times New Roman"/>
          <w:sz w:val="24"/>
          <w:szCs w:val="24"/>
        </w:rPr>
        <w:t xml:space="preserve"> </w:t>
      </w:r>
      <w:r>
        <w:rPr>
          <w:rFonts w:ascii="Times New Roman" w:hAnsi="Times New Roman" w:cs="Times New Roman"/>
          <w:sz w:val="24"/>
          <w:szCs w:val="24"/>
          <w:u w:val="single"/>
        </w:rPr>
        <w:t>e.g.,</w:t>
      </w:r>
      <w:r>
        <w:rPr>
          <w:rFonts w:ascii="Times New Roman" w:hAnsi="Times New Roman" w:cs="Times New Roman"/>
          <w:sz w:val="24"/>
          <w:szCs w:val="24"/>
        </w:rPr>
        <w:t xml:space="preserve"> </w:t>
      </w:r>
      <w:r>
        <w:rPr>
          <w:rFonts w:ascii="Times New Roman" w:hAnsi="Times New Roman" w:cs="Times New Roman"/>
          <w:sz w:val="24"/>
          <w:szCs w:val="24"/>
          <w:u w:val="single"/>
        </w:rPr>
        <w:t>Mennen</w:t>
      </w:r>
      <w:r>
        <w:rPr>
          <w:rFonts w:ascii="Times New Roman" w:hAnsi="Times New Roman" w:cs="Times New Roman"/>
          <w:sz w:val="24"/>
          <w:szCs w:val="24"/>
        </w:rPr>
        <w:t xml:space="preserve"> (finding couple together thirty-two of thirty-eight surveillance events “simply wasn’t enough” to show cohabitation as opposed to a romantic relationship); </w:t>
      </w:r>
      <w:r w:rsidRPr="00CA03F3">
        <w:rPr>
          <w:rFonts w:ascii="Times New Roman" w:hAnsi="Times New Roman" w:cs="Times New Roman"/>
          <w:sz w:val="24"/>
          <w:szCs w:val="24"/>
          <w:u w:val="single"/>
        </w:rPr>
        <w:t>see</w:t>
      </w:r>
      <w:r>
        <w:rPr>
          <w:rFonts w:ascii="Times New Roman" w:hAnsi="Times New Roman" w:cs="Times New Roman"/>
          <w:sz w:val="24"/>
          <w:szCs w:val="24"/>
        </w:rPr>
        <w:t xml:space="preserve"> </w:t>
      </w:r>
      <w:r w:rsidRPr="00CA03F3">
        <w:rPr>
          <w:rFonts w:ascii="Times New Roman" w:hAnsi="Times New Roman" w:cs="Times New Roman"/>
          <w:sz w:val="24"/>
          <w:szCs w:val="24"/>
          <w:u w:val="single"/>
        </w:rPr>
        <w:t>also</w:t>
      </w:r>
      <w:r>
        <w:rPr>
          <w:rFonts w:ascii="Times New Roman" w:hAnsi="Times New Roman" w:cs="Times New Roman"/>
          <w:sz w:val="24"/>
          <w:szCs w:val="24"/>
        </w:rPr>
        <w:t xml:space="preserve"> Salvator</w:t>
      </w:r>
      <w:r>
        <w:rPr>
          <w:rFonts w:ascii="Times New Roman" w:hAnsi="Times New Roman" w:cs="Times New Roman"/>
          <w:sz w:val="24"/>
          <w:szCs w:val="24"/>
        </w:rPr>
        <w:t xml:space="preserve">e v. Salvatore No. A-5565-16 (App. Div. 2018) (reversing denial of spouse’s motion to terminate alimony in 2017 because cohabitation continued, even though parties agreed to reduce alimony because of cohabitation in 2011).   </w:t>
      </w:r>
    </w:p>
    <w:p w:rsidR="00E32F7D" w:rsidRDefault="00FA2DFB" w:rsidP="00FA2DFB">
      <w:pPr>
        <w:jc w:val="both"/>
        <w:rPr>
          <w:rFonts w:ascii="Times New Roman" w:hAnsi="Times New Roman" w:cs="Times New Roman"/>
          <w:sz w:val="24"/>
          <w:szCs w:val="24"/>
        </w:rPr>
      </w:pPr>
      <w:r>
        <w:rPr>
          <w:rFonts w:ascii="Times New Roman" w:hAnsi="Times New Roman" w:cs="Times New Roman"/>
          <w:sz w:val="24"/>
          <w:szCs w:val="24"/>
        </w:rPr>
        <w:t>Second, and o</w:t>
      </w:r>
      <w:r>
        <w:rPr>
          <w:rFonts w:ascii="Times New Roman" w:hAnsi="Times New Roman" w:cs="Times New Roman"/>
          <w:sz w:val="24"/>
          <w:szCs w:val="24"/>
        </w:rPr>
        <w:t xml:space="preserve">ne of the most </w:t>
      </w:r>
      <w:r>
        <w:rPr>
          <w:rFonts w:ascii="Times New Roman" w:hAnsi="Times New Roman" w:cs="Times New Roman"/>
          <w:sz w:val="24"/>
          <w:szCs w:val="24"/>
        </w:rPr>
        <w:t>important</w:t>
      </w:r>
      <w:r>
        <w:rPr>
          <w:rFonts w:ascii="Times New Roman" w:hAnsi="Times New Roman" w:cs="Times New Roman"/>
          <w:sz w:val="24"/>
          <w:szCs w:val="24"/>
        </w:rPr>
        <w:t xml:space="preserve"> changes to the statute</w:t>
      </w:r>
      <w:r>
        <w:rPr>
          <w:rFonts w:ascii="Times New Roman" w:hAnsi="Times New Roman" w:cs="Times New Roman"/>
          <w:sz w:val="24"/>
          <w:szCs w:val="24"/>
        </w:rPr>
        <w:t>,</w:t>
      </w:r>
      <w:r>
        <w:rPr>
          <w:rFonts w:ascii="Times New Roman" w:hAnsi="Times New Roman" w:cs="Times New Roman"/>
          <w:sz w:val="24"/>
          <w:szCs w:val="24"/>
        </w:rPr>
        <w:t xml:space="preserve"> is found in the last sentence of section (n). It provides</w:t>
      </w:r>
      <w:r>
        <w:rPr>
          <w:rFonts w:ascii="Times New Roman" w:hAnsi="Times New Roman" w:cs="Times New Roman"/>
          <w:sz w:val="24"/>
          <w:szCs w:val="24"/>
        </w:rPr>
        <w:t>:</w:t>
      </w:r>
      <w:r>
        <w:rPr>
          <w:rFonts w:ascii="Times New Roman" w:hAnsi="Times New Roman" w:cs="Times New Roman"/>
          <w:sz w:val="24"/>
          <w:szCs w:val="24"/>
        </w:rPr>
        <w:t xml:space="preserve"> “a court may not find an absence of cohabitation solely on grounds that the couple does not live together on a full-time basis.” </w:t>
      </w:r>
      <w:r>
        <w:rPr>
          <w:rFonts w:ascii="Times New Roman" w:hAnsi="Times New Roman" w:cs="Times New Roman"/>
          <w:sz w:val="24"/>
          <w:szCs w:val="24"/>
        </w:rPr>
        <w:t xml:space="preserve"> </w:t>
      </w:r>
      <w:r>
        <w:rPr>
          <w:rFonts w:ascii="Times New Roman" w:hAnsi="Times New Roman" w:cs="Times New Roman"/>
          <w:sz w:val="24"/>
          <w:szCs w:val="24"/>
        </w:rPr>
        <w:t>This provision was inserted as a direct result of the gamesmanship that was occurring with couples obtaining separate or sham</w:t>
      </w:r>
      <w:r>
        <w:rPr>
          <w:rFonts w:ascii="Times New Roman" w:hAnsi="Times New Roman" w:cs="Times New Roman"/>
          <w:sz w:val="24"/>
          <w:szCs w:val="24"/>
        </w:rPr>
        <w:t xml:space="preserve"> residences </w:t>
      </w:r>
      <w:proofErr w:type="gramStart"/>
      <w:r>
        <w:rPr>
          <w:rFonts w:ascii="Times New Roman" w:hAnsi="Times New Roman" w:cs="Times New Roman"/>
          <w:sz w:val="24"/>
          <w:szCs w:val="24"/>
        </w:rPr>
        <w:t>in an attempt to</w:t>
      </w:r>
      <w:proofErr w:type="gramEnd"/>
      <w:r>
        <w:rPr>
          <w:rFonts w:ascii="Times New Roman" w:hAnsi="Times New Roman" w:cs="Times New Roman"/>
          <w:sz w:val="24"/>
          <w:szCs w:val="24"/>
        </w:rPr>
        <w:t xml:space="preserve"> thwart a cohabitation application</w:t>
      </w:r>
      <w:r>
        <w:rPr>
          <w:rFonts w:ascii="Times New Roman" w:hAnsi="Times New Roman" w:cs="Times New Roman"/>
          <w:sz w:val="24"/>
          <w:szCs w:val="24"/>
        </w:rPr>
        <w:t xml:space="preserve"> </w:t>
      </w:r>
      <w:r>
        <w:rPr>
          <w:rFonts w:ascii="Times New Roman" w:hAnsi="Times New Roman" w:cs="Times New Roman"/>
          <w:sz w:val="24"/>
          <w:szCs w:val="24"/>
        </w:rPr>
        <w:t xml:space="preserve">by </w:t>
      </w:r>
      <w:r>
        <w:rPr>
          <w:rFonts w:ascii="Times New Roman" w:hAnsi="Times New Roman" w:cs="Times New Roman"/>
          <w:sz w:val="24"/>
          <w:szCs w:val="24"/>
        </w:rPr>
        <w:t xml:space="preserve">claiming they do not live together </w:t>
      </w:r>
      <w:r>
        <w:rPr>
          <w:rFonts w:ascii="Times New Roman" w:hAnsi="Times New Roman" w:cs="Times New Roman"/>
          <w:sz w:val="24"/>
          <w:szCs w:val="24"/>
        </w:rPr>
        <w:t xml:space="preserve">as they </w:t>
      </w:r>
      <w:r>
        <w:rPr>
          <w:rFonts w:ascii="Times New Roman" w:hAnsi="Times New Roman" w:cs="Times New Roman"/>
          <w:sz w:val="24"/>
          <w:szCs w:val="24"/>
        </w:rPr>
        <w:t xml:space="preserve">maintain separate residences. To combat </w:t>
      </w:r>
      <w:r>
        <w:rPr>
          <w:rFonts w:ascii="Times New Roman" w:hAnsi="Times New Roman" w:cs="Times New Roman"/>
          <w:sz w:val="24"/>
          <w:szCs w:val="24"/>
        </w:rPr>
        <w:t>this abuse</w:t>
      </w:r>
      <w:r>
        <w:rPr>
          <w:rFonts w:ascii="Times New Roman" w:hAnsi="Times New Roman" w:cs="Times New Roman"/>
          <w:sz w:val="24"/>
          <w:szCs w:val="24"/>
        </w:rPr>
        <w:t xml:space="preserve">, the </w:t>
      </w:r>
      <w:r>
        <w:rPr>
          <w:rFonts w:ascii="Times New Roman" w:hAnsi="Times New Roman" w:cs="Times New Roman"/>
          <w:sz w:val="24"/>
          <w:szCs w:val="24"/>
        </w:rPr>
        <w:t>L</w:t>
      </w:r>
      <w:r>
        <w:rPr>
          <w:rFonts w:ascii="Times New Roman" w:hAnsi="Times New Roman" w:cs="Times New Roman"/>
          <w:sz w:val="24"/>
          <w:szCs w:val="24"/>
        </w:rPr>
        <w:t>egislature essentially obliterated the importance of whet</w:t>
      </w:r>
      <w:r>
        <w:rPr>
          <w:rFonts w:ascii="Times New Roman" w:hAnsi="Times New Roman" w:cs="Times New Roman"/>
          <w:sz w:val="24"/>
          <w:szCs w:val="24"/>
        </w:rPr>
        <w:t>her a couple is li</w:t>
      </w:r>
      <w:r>
        <w:rPr>
          <w:rFonts w:ascii="Times New Roman" w:hAnsi="Times New Roman" w:cs="Times New Roman"/>
          <w:sz w:val="24"/>
          <w:szCs w:val="24"/>
        </w:rPr>
        <w:t xml:space="preserve">ving together or not. As such, cohabitation can still be found even </w:t>
      </w:r>
      <w:r>
        <w:rPr>
          <w:rFonts w:ascii="Times New Roman" w:hAnsi="Times New Roman" w:cs="Times New Roman"/>
          <w:sz w:val="24"/>
          <w:szCs w:val="24"/>
        </w:rPr>
        <w:t>when</w:t>
      </w:r>
      <w:r>
        <w:rPr>
          <w:rFonts w:ascii="Times New Roman" w:hAnsi="Times New Roman" w:cs="Times New Roman"/>
          <w:sz w:val="24"/>
          <w:szCs w:val="24"/>
        </w:rPr>
        <w:t xml:space="preserve"> a couple is not living together full-time. </w:t>
      </w:r>
    </w:p>
    <w:p w:rsidR="00FA2DFB" w:rsidRDefault="00FA2DFB" w:rsidP="00FA2DFB">
      <w:pPr>
        <w:jc w:val="both"/>
        <w:rPr>
          <w:rFonts w:ascii="Times New Roman" w:hAnsi="Times New Roman" w:cs="Times New Roman"/>
          <w:sz w:val="24"/>
          <w:szCs w:val="24"/>
        </w:rPr>
      </w:pPr>
      <w:r>
        <w:rPr>
          <w:rFonts w:ascii="Times New Roman" w:hAnsi="Times New Roman" w:cs="Times New Roman"/>
          <w:sz w:val="24"/>
          <w:szCs w:val="24"/>
        </w:rPr>
        <w:t>The case law and treatises written</w:t>
      </w:r>
      <w:r>
        <w:rPr>
          <w:rFonts w:ascii="Times New Roman" w:hAnsi="Times New Roman" w:cs="Times New Roman"/>
          <w:sz w:val="24"/>
          <w:szCs w:val="24"/>
        </w:rPr>
        <w:t xml:space="preserve"> about </w:t>
      </w:r>
      <w:r>
        <w:rPr>
          <w:rFonts w:ascii="Times New Roman" w:hAnsi="Times New Roman" w:cs="Times New Roman"/>
          <w:sz w:val="24"/>
          <w:szCs w:val="24"/>
        </w:rPr>
        <w:t>cohabitation</w:t>
      </w:r>
      <w:r>
        <w:rPr>
          <w:rFonts w:ascii="Times New Roman" w:hAnsi="Times New Roman" w:cs="Times New Roman"/>
          <w:sz w:val="24"/>
          <w:szCs w:val="24"/>
        </w:rPr>
        <w:t xml:space="preserve"> reveal it</w:t>
      </w:r>
      <w:r>
        <w:rPr>
          <w:rFonts w:ascii="Times New Roman" w:hAnsi="Times New Roman" w:cs="Times New Roman"/>
          <w:sz w:val="24"/>
          <w:szCs w:val="24"/>
        </w:rPr>
        <w:t xml:space="preserve"> is a term of art. It is no longer synonymous with liv</w:t>
      </w:r>
      <w:r>
        <w:rPr>
          <w:rFonts w:ascii="Times New Roman" w:hAnsi="Times New Roman" w:cs="Times New Roman"/>
          <w:sz w:val="24"/>
          <w:szCs w:val="24"/>
        </w:rPr>
        <w:t xml:space="preserve">ing together or counting overnights. </w:t>
      </w:r>
      <w:r>
        <w:rPr>
          <w:rFonts w:ascii="Times New Roman" w:hAnsi="Times New Roman" w:cs="Times New Roman"/>
          <w:sz w:val="24"/>
          <w:szCs w:val="24"/>
        </w:rPr>
        <w:t>It</w:t>
      </w:r>
      <w:r>
        <w:rPr>
          <w:rFonts w:ascii="Times New Roman" w:hAnsi="Times New Roman" w:cs="Times New Roman"/>
          <w:sz w:val="24"/>
          <w:szCs w:val="24"/>
        </w:rPr>
        <w:t xml:space="preserve"> is a holistic review of a couple’s relationship</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The facts must show</w:t>
      </w:r>
      <w:r>
        <w:rPr>
          <w:rFonts w:ascii="Times New Roman" w:hAnsi="Times New Roman" w:cs="Times New Roman"/>
          <w:sz w:val="24"/>
          <w:szCs w:val="24"/>
        </w:rPr>
        <w:t xml:space="preserve"> the couple engaged not only in</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w:t>
      </w:r>
      <w:r>
        <w:rPr>
          <w:rFonts w:ascii="Times New Roman" w:hAnsi="Times New Roman" w:cs="Times New Roman"/>
          <w:sz w:val="24"/>
          <w:szCs w:val="24"/>
        </w:rPr>
        <w:t xml:space="preserve"> mutually supportive, intimate personal relationship</w:t>
      </w:r>
      <w:r>
        <w:rPr>
          <w:rFonts w:ascii="Times New Roman" w:hAnsi="Times New Roman" w:cs="Times New Roman"/>
          <w:sz w:val="24"/>
          <w:szCs w:val="24"/>
        </w:rPr>
        <w:t xml:space="preserve">,” but also evidence </w:t>
      </w:r>
      <w:r>
        <w:rPr>
          <w:rFonts w:ascii="Times New Roman" w:hAnsi="Times New Roman" w:cs="Times New Roman"/>
          <w:sz w:val="24"/>
          <w:szCs w:val="24"/>
        </w:rPr>
        <w:t xml:space="preserve">undertaking the </w:t>
      </w:r>
      <w:r>
        <w:rPr>
          <w:rFonts w:ascii="Times New Roman" w:hAnsi="Times New Roman" w:cs="Times New Roman"/>
          <w:sz w:val="24"/>
          <w:szCs w:val="24"/>
        </w:rPr>
        <w:t>“</w:t>
      </w:r>
      <w:r>
        <w:rPr>
          <w:rFonts w:ascii="Times New Roman" w:eastAsia="Times New Roman" w:hAnsi="Times New Roman" w:cs="Times New Roman"/>
          <w:sz w:val="24"/>
          <w:szCs w:val="24"/>
        </w:rPr>
        <w:t>duties and privileges that are commonly associated with marriage or civil union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Although the threshold is high, </w:t>
      </w:r>
      <w:r>
        <w:rPr>
          <w:rFonts w:ascii="Times New Roman" w:eastAsia="Times New Roman" w:hAnsi="Times New Roman" w:cs="Times New Roman"/>
          <w:sz w:val="24"/>
          <w:szCs w:val="24"/>
        </w:rPr>
        <w:t xml:space="preserve">collecting </w:t>
      </w:r>
      <w:r>
        <w:rPr>
          <w:rFonts w:ascii="Times New Roman" w:hAnsi="Times New Roman" w:cs="Times New Roman"/>
          <w:sz w:val="24"/>
          <w:szCs w:val="24"/>
        </w:rPr>
        <w:t xml:space="preserve">many facts </w:t>
      </w:r>
      <w:r>
        <w:rPr>
          <w:rFonts w:ascii="Times New Roman" w:hAnsi="Times New Roman" w:cs="Times New Roman"/>
          <w:sz w:val="24"/>
          <w:szCs w:val="24"/>
        </w:rPr>
        <w:t xml:space="preserve">to show the statutory </w:t>
      </w:r>
      <w:r>
        <w:rPr>
          <w:rFonts w:ascii="Times New Roman" w:hAnsi="Times New Roman" w:cs="Times New Roman"/>
          <w:sz w:val="24"/>
          <w:szCs w:val="24"/>
        </w:rPr>
        <w:t xml:space="preserve">factors </w:t>
      </w:r>
      <w:r>
        <w:rPr>
          <w:rFonts w:ascii="Times New Roman" w:hAnsi="Times New Roman" w:cs="Times New Roman"/>
          <w:sz w:val="24"/>
          <w:szCs w:val="24"/>
        </w:rPr>
        <w:t xml:space="preserve">will aid </w:t>
      </w:r>
      <w:r>
        <w:rPr>
          <w:rFonts w:ascii="Times New Roman" w:hAnsi="Times New Roman" w:cs="Times New Roman"/>
          <w:sz w:val="24"/>
          <w:szCs w:val="24"/>
        </w:rPr>
        <w:t xml:space="preserve">your </w:t>
      </w:r>
      <w:r>
        <w:rPr>
          <w:rFonts w:ascii="Times New Roman" w:hAnsi="Times New Roman" w:cs="Times New Roman"/>
          <w:sz w:val="24"/>
          <w:szCs w:val="24"/>
        </w:rPr>
        <w:t>argument</w:t>
      </w:r>
      <w:r>
        <w:rPr>
          <w:rFonts w:ascii="Times New Roman" w:hAnsi="Times New Roman" w:cs="Times New Roman"/>
          <w:sz w:val="24"/>
          <w:szCs w:val="24"/>
        </w:rPr>
        <w:t xml:space="preserve"> that </w:t>
      </w:r>
      <w:bookmarkStart w:id="0" w:name="_GoBack"/>
      <w:bookmarkEnd w:id="0"/>
      <w:r>
        <w:rPr>
          <w:rFonts w:ascii="Times New Roman" w:hAnsi="Times New Roman" w:cs="Times New Roman"/>
          <w:sz w:val="24"/>
          <w:szCs w:val="24"/>
        </w:rPr>
        <w:t>th</w:t>
      </w:r>
      <w:r>
        <w:rPr>
          <w:rFonts w:ascii="Times New Roman" w:hAnsi="Times New Roman" w:cs="Times New Roman"/>
          <w:sz w:val="24"/>
          <w:szCs w:val="24"/>
        </w:rPr>
        <w:t>e</w:t>
      </w:r>
      <w:r>
        <w:rPr>
          <w:rFonts w:ascii="Times New Roman" w:hAnsi="Times New Roman" w:cs="Times New Roman"/>
          <w:sz w:val="24"/>
          <w:szCs w:val="24"/>
        </w:rPr>
        <w:t xml:space="preserve"> threshold </w:t>
      </w:r>
      <w:r>
        <w:rPr>
          <w:rFonts w:ascii="Times New Roman" w:hAnsi="Times New Roman" w:cs="Times New Roman"/>
          <w:sz w:val="24"/>
          <w:szCs w:val="24"/>
        </w:rPr>
        <w:t>is</w:t>
      </w:r>
      <w:r>
        <w:rPr>
          <w:rFonts w:ascii="Times New Roman" w:hAnsi="Times New Roman" w:cs="Times New Roman"/>
          <w:sz w:val="24"/>
          <w:szCs w:val="24"/>
        </w:rPr>
        <w:t xml:space="preserve"> met.</w:t>
      </w:r>
    </w:p>
    <w:p w:rsidR="00E32F7D" w:rsidRDefault="00FA2DFB" w:rsidP="00FA2DFB">
      <w:pPr>
        <w:jc w:val="both"/>
        <w:rPr>
          <w:rFonts w:ascii="Times New Roman" w:hAnsi="Times New Roman" w:cs="Times New Roman"/>
          <w:sz w:val="24"/>
          <w:szCs w:val="24"/>
        </w:rPr>
      </w:pPr>
      <w:r>
        <w:rPr>
          <w:rFonts w:ascii="Times New Roman" w:hAnsi="Times New Roman" w:cs="Times New Roman"/>
          <w:sz w:val="24"/>
          <w:szCs w:val="24"/>
        </w:rPr>
        <w:t>****************************************************************************</w:t>
      </w:r>
    </w:p>
    <w:p w:rsidR="00E32F7D" w:rsidRDefault="00FA2DFB" w:rsidP="00FA2DFB">
      <w:pPr>
        <w:jc w:val="both"/>
        <w:rPr>
          <w:rFonts w:ascii="Times New Roman" w:hAnsi="Times New Roman" w:cs="Times New Roman"/>
          <w:i/>
          <w:iCs/>
          <w:sz w:val="24"/>
          <w:szCs w:val="24"/>
        </w:rPr>
      </w:pPr>
      <w:r>
        <w:rPr>
          <w:rFonts w:ascii="Times New Roman" w:hAnsi="Times New Roman" w:cs="Times New Roman"/>
          <w:i/>
          <w:iCs/>
          <w:sz w:val="24"/>
          <w:szCs w:val="24"/>
        </w:rPr>
        <w:t>*Jeralyn Lawrence is the founder and managing partner of Lawrence Law, providing divorce and family law services including litigation, mediation, arbitration and collaborative law</w:t>
      </w:r>
      <w:r>
        <w:rPr>
          <w:rFonts w:ascii="Times New Roman" w:hAnsi="Times New Roman" w:cs="Times New Roman"/>
          <w:i/>
          <w:iCs/>
          <w:sz w:val="24"/>
          <w:szCs w:val="24"/>
        </w:rPr>
        <w:t>.</w:t>
      </w:r>
    </w:p>
    <w:p w:rsidR="00E32F7D" w:rsidRDefault="00FA2DFB" w:rsidP="00FA2DFB">
      <w:pPr>
        <w:jc w:val="both"/>
        <w:rPr>
          <w:rFonts w:ascii="Times New Roman" w:hAnsi="Times New Roman" w:cs="Times New Roman"/>
          <w:sz w:val="24"/>
          <w:szCs w:val="24"/>
        </w:rPr>
      </w:pPr>
      <w:r>
        <w:rPr>
          <w:rFonts w:ascii="Times New Roman" w:hAnsi="Times New Roman" w:cs="Times New Roman"/>
          <w:bCs/>
          <w:i/>
          <w:sz w:val="24"/>
          <w:szCs w:val="24"/>
        </w:rPr>
        <w:t>**Marie E. Lihotz</w:t>
      </w:r>
      <w:r>
        <w:rPr>
          <w:rFonts w:ascii="Times New Roman" w:hAnsi="Times New Roman" w:cs="Times New Roman"/>
          <w:i/>
          <w:iCs/>
          <w:sz w:val="24"/>
          <w:szCs w:val="24"/>
        </w:rPr>
        <w:t>, a former Presiding Judge of the Appellate Division, is now of counsel with Archer and Greiner, providing appellate and trial consulting, mediation and arbitration services in all civil matters. </w:t>
      </w:r>
      <w:r>
        <w:rPr>
          <w:rFonts w:ascii="Times New Roman" w:hAnsi="Times New Roman" w:cs="Times New Roman"/>
          <w:sz w:val="24"/>
          <w:szCs w:val="24"/>
        </w:rPr>
        <w:t xml:space="preserve"> </w:t>
      </w:r>
    </w:p>
    <w:p w:rsidR="00E32F7D" w:rsidRDefault="00E32F7D" w:rsidP="00FA2DFB">
      <w:pPr>
        <w:jc w:val="both"/>
      </w:pPr>
    </w:p>
    <w:sectPr w:rsidR="00E3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BD1"/>
    <w:multiLevelType w:val="hybridMultilevel"/>
    <w:tmpl w:val="17F8D096"/>
    <w:lvl w:ilvl="0" w:tplc="C58AEF4C">
      <w:start w:val="1"/>
      <w:numFmt w:val="decimal"/>
      <w:lvlText w:val="%1."/>
      <w:lvlJc w:val="left"/>
      <w:pPr>
        <w:ind w:left="720" w:hanging="360"/>
      </w:pPr>
      <w:rPr>
        <w:rFonts w:hint="default"/>
      </w:rPr>
    </w:lvl>
    <w:lvl w:ilvl="1" w:tplc="FF6EC718" w:tentative="1">
      <w:start w:val="1"/>
      <w:numFmt w:val="lowerLetter"/>
      <w:lvlText w:val="%2."/>
      <w:lvlJc w:val="left"/>
      <w:pPr>
        <w:ind w:left="1440" w:hanging="360"/>
      </w:pPr>
    </w:lvl>
    <w:lvl w:ilvl="2" w:tplc="6EA89894" w:tentative="1">
      <w:start w:val="1"/>
      <w:numFmt w:val="lowerRoman"/>
      <w:lvlText w:val="%3."/>
      <w:lvlJc w:val="right"/>
      <w:pPr>
        <w:ind w:left="2160" w:hanging="180"/>
      </w:pPr>
    </w:lvl>
    <w:lvl w:ilvl="3" w:tplc="DD42BFD0" w:tentative="1">
      <w:start w:val="1"/>
      <w:numFmt w:val="decimal"/>
      <w:lvlText w:val="%4."/>
      <w:lvlJc w:val="left"/>
      <w:pPr>
        <w:ind w:left="2880" w:hanging="360"/>
      </w:pPr>
    </w:lvl>
    <w:lvl w:ilvl="4" w:tplc="0D3AF014" w:tentative="1">
      <w:start w:val="1"/>
      <w:numFmt w:val="lowerLetter"/>
      <w:lvlText w:val="%5."/>
      <w:lvlJc w:val="left"/>
      <w:pPr>
        <w:ind w:left="3600" w:hanging="360"/>
      </w:pPr>
    </w:lvl>
    <w:lvl w:ilvl="5" w:tplc="C6DA20FA" w:tentative="1">
      <w:start w:val="1"/>
      <w:numFmt w:val="lowerRoman"/>
      <w:lvlText w:val="%6."/>
      <w:lvlJc w:val="right"/>
      <w:pPr>
        <w:ind w:left="4320" w:hanging="180"/>
      </w:pPr>
    </w:lvl>
    <w:lvl w:ilvl="6" w:tplc="9DF096E4" w:tentative="1">
      <w:start w:val="1"/>
      <w:numFmt w:val="decimal"/>
      <w:lvlText w:val="%7."/>
      <w:lvlJc w:val="left"/>
      <w:pPr>
        <w:ind w:left="5040" w:hanging="360"/>
      </w:pPr>
    </w:lvl>
    <w:lvl w:ilvl="7" w:tplc="3E4EBBDA" w:tentative="1">
      <w:start w:val="1"/>
      <w:numFmt w:val="lowerLetter"/>
      <w:lvlText w:val="%8."/>
      <w:lvlJc w:val="left"/>
      <w:pPr>
        <w:ind w:left="5760" w:hanging="360"/>
      </w:pPr>
    </w:lvl>
    <w:lvl w:ilvl="8" w:tplc="1D0EF662" w:tentative="1">
      <w:start w:val="1"/>
      <w:numFmt w:val="lowerRoman"/>
      <w:lvlText w:val="%9."/>
      <w:lvlJc w:val="right"/>
      <w:pPr>
        <w:ind w:left="6480" w:hanging="180"/>
      </w:pPr>
    </w:lvl>
  </w:abstractNum>
  <w:abstractNum w:abstractNumId="1" w15:restartNumberingAfterBreak="0">
    <w:nsid w:val="32D5559F"/>
    <w:multiLevelType w:val="hybridMultilevel"/>
    <w:tmpl w:val="E78A327A"/>
    <w:lvl w:ilvl="0" w:tplc="95A8D050">
      <w:start w:val="1"/>
      <w:numFmt w:val="decimal"/>
      <w:lvlText w:val="%1."/>
      <w:lvlJc w:val="left"/>
      <w:pPr>
        <w:ind w:left="720" w:hanging="360"/>
      </w:pPr>
    </w:lvl>
    <w:lvl w:ilvl="1" w:tplc="44864D38" w:tentative="1">
      <w:start w:val="1"/>
      <w:numFmt w:val="lowerLetter"/>
      <w:lvlText w:val="%2."/>
      <w:lvlJc w:val="left"/>
      <w:pPr>
        <w:ind w:left="1440" w:hanging="360"/>
      </w:pPr>
    </w:lvl>
    <w:lvl w:ilvl="2" w:tplc="DBC6D05E" w:tentative="1">
      <w:start w:val="1"/>
      <w:numFmt w:val="lowerRoman"/>
      <w:lvlText w:val="%3."/>
      <w:lvlJc w:val="right"/>
      <w:pPr>
        <w:ind w:left="2160" w:hanging="180"/>
      </w:pPr>
    </w:lvl>
    <w:lvl w:ilvl="3" w:tplc="2EFE1D70" w:tentative="1">
      <w:start w:val="1"/>
      <w:numFmt w:val="decimal"/>
      <w:lvlText w:val="%4."/>
      <w:lvlJc w:val="left"/>
      <w:pPr>
        <w:ind w:left="2880" w:hanging="360"/>
      </w:pPr>
    </w:lvl>
    <w:lvl w:ilvl="4" w:tplc="A2D8A592" w:tentative="1">
      <w:start w:val="1"/>
      <w:numFmt w:val="lowerLetter"/>
      <w:lvlText w:val="%5."/>
      <w:lvlJc w:val="left"/>
      <w:pPr>
        <w:ind w:left="3600" w:hanging="360"/>
      </w:pPr>
    </w:lvl>
    <w:lvl w:ilvl="5" w:tplc="7B80578C" w:tentative="1">
      <w:start w:val="1"/>
      <w:numFmt w:val="lowerRoman"/>
      <w:lvlText w:val="%6."/>
      <w:lvlJc w:val="right"/>
      <w:pPr>
        <w:ind w:left="4320" w:hanging="180"/>
      </w:pPr>
    </w:lvl>
    <w:lvl w:ilvl="6" w:tplc="1B8E7070" w:tentative="1">
      <w:start w:val="1"/>
      <w:numFmt w:val="decimal"/>
      <w:lvlText w:val="%7."/>
      <w:lvlJc w:val="left"/>
      <w:pPr>
        <w:ind w:left="5040" w:hanging="360"/>
      </w:pPr>
    </w:lvl>
    <w:lvl w:ilvl="7" w:tplc="04941D2C" w:tentative="1">
      <w:start w:val="1"/>
      <w:numFmt w:val="lowerLetter"/>
      <w:lvlText w:val="%8."/>
      <w:lvlJc w:val="left"/>
      <w:pPr>
        <w:ind w:left="5760" w:hanging="360"/>
      </w:pPr>
    </w:lvl>
    <w:lvl w:ilvl="8" w:tplc="75B63654" w:tentative="1">
      <w:start w:val="1"/>
      <w:numFmt w:val="lowerRoman"/>
      <w:lvlText w:val="%9."/>
      <w:lvlJc w:val="right"/>
      <w:pPr>
        <w:ind w:left="6480" w:hanging="180"/>
      </w:pPr>
    </w:lvl>
  </w:abstractNum>
  <w:abstractNum w:abstractNumId="2" w15:restartNumberingAfterBreak="0">
    <w:nsid w:val="3A074F9C"/>
    <w:multiLevelType w:val="hybridMultilevel"/>
    <w:tmpl w:val="7090ABAE"/>
    <w:lvl w:ilvl="0" w:tplc="B6849434">
      <w:start w:val="1"/>
      <w:numFmt w:val="decimal"/>
      <w:lvlText w:val="%1."/>
      <w:lvlJc w:val="left"/>
      <w:pPr>
        <w:ind w:left="720" w:hanging="360"/>
      </w:pPr>
      <w:rPr>
        <w:rFonts w:hint="default"/>
      </w:rPr>
    </w:lvl>
    <w:lvl w:ilvl="1" w:tplc="2A2E7058" w:tentative="1">
      <w:start w:val="1"/>
      <w:numFmt w:val="lowerLetter"/>
      <w:lvlText w:val="%2."/>
      <w:lvlJc w:val="left"/>
      <w:pPr>
        <w:ind w:left="1440" w:hanging="360"/>
      </w:pPr>
    </w:lvl>
    <w:lvl w:ilvl="2" w:tplc="4C5027B8" w:tentative="1">
      <w:start w:val="1"/>
      <w:numFmt w:val="lowerRoman"/>
      <w:lvlText w:val="%3."/>
      <w:lvlJc w:val="right"/>
      <w:pPr>
        <w:ind w:left="2160" w:hanging="180"/>
      </w:pPr>
    </w:lvl>
    <w:lvl w:ilvl="3" w:tplc="136C5F58" w:tentative="1">
      <w:start w:val="1"/>
      <w:numFmt w:val="decimal"/>
      <w:lvlText w:val="%4."/>
      <w:lvlJc w:val="left"/>
      <w:pPr>
        <w:ind w:left="2880" w:hanging="360"/>
      </w:pPr>
    </w:lvl>
    <w:lvl w:ilvl="4" w:tplc="4AE45B26" w:tentative="1">
      <w:start w:val="1"/>
      <w:numFmt w:val="lowerLetter"/>
      <w:lvlText w:val="%5."/>
      <w:lvlJc w:val="left"/>
      <w:pPr>
        <w:ind w:left="3600" w:hanging="360"/>
      </w:pPr>
    </w:lvl>
    <w:lvl w:ilvl="5" w:tplc="30E06EF6" w:tentative="1">
      <w:start w:val="1"/>
      <w:numFmt w:val="lowerRoman"/>
      <w:lvlText w:val="%6."/>
      <w:lvlJc w:val="right"/>
      <w:pPr>
        <w:ind w:left="4320" w:hanging="180"/>
      </w:pPr>
    </w:lvl>
    <w:lvl w:ilvl="6" w:tplc="5E32FBDE" w:tentative="1">
      <w:start w:val="1"/>
      <w:numFmt w:val="decimal"/>
      <w:lvlText w:val="%7."/>
      <w:lvlJc w:val="left"/>
      <w:pPr>
        <w:ind w:left="5040" w:hanging="360"/>
      </w:pPr>
    </w:lvl>
    <w:lvl w:ilvl="7" w:tplc="34D06A62" w:tentative="1">
      <w:start w:val="1"/>
      <w:numFmt w:val="lowerLetter"/>
      <w:lvlText w:val="%8."/>
      <w:lvlJc w:val="left"/>
      <w:pPr>
        <w:ind w:left="5760" w:hanging="360"/>
      </w:pPr>
    </w:lvl>
    <w:lvl w:ilvl="8" w:tplc="C36EF244" w:tentative="1">
      <w:start w:val="1"/>
      <w:numFmt w:val="lowerRoman"/>
      <w:lvlText w:val="%9."/>
      <w:lvlJc w:val="right"/>
      <w:pPr>
        <w:ind w:left="6480" w:hanging="180"/>
      </w:pPr>
    </w:lvl>
  </w:abstractNum>
  <w:abstractNum w:abstractNumId="3" w15:restartNumberingAfterBreak="0">
    <w:nsid w:val="437A687E"/>
    <w:multiLevelType w:val="hybridMultilevel"/>
    <w:tmpl w:val="36780D16"/>
    <w:lvl w:ilvl="0" w:tplc="5D2CE0F4">
      <w:start w:val="18"/>
      <w:numFmt w:val="bullet"/>
      <w:lvlText w:val=""/>
      <w:lvlJc w:val="left"/>
      <w:pPr>
        <w:ind w:left="720" w:hanging="360"/>
      </w:pPr>
      <w:rPr>
        <w:rFonts w:ascii="Symbol" w:eastAsiaTheme="minorHAnsi" w:hAnsi="Symbol" w:cs="Times New Roman" w:hint="default"/>
      </w:rPr>
    </w:lvl>
    <w:lvl w:ilvl="1" w:tplc="8D98973C" w:tentative="1">
      <w:start w:val="1"/>
      <w:numFmt w:val="bullet"/>
      <w:lvlText w:val="o"/>
      <w:lvlJc w:val="left"/>
      <w:pPr>
        <w:ind w:left="1440" w:hanging="360"/>
      </w:pPr>
      <w:rPr>
        <w:rFonts w:ascii="Courier New" w:hAnsi="Courier New" w:cs="Courier New" w:hint="default"/>
      </w:rPr>
    </w:lvl>
    <w:lvl w:ilvl="2" w:tplc="880EFD68" w:tentative="1">
      <w:start w:val="1"/>
      <w:numFmt w:val="bullet"/>
      <w:lvlText w:val=""/>
      <w:lvlJc w:val="left"/>
      <w:pPr>
        <w:ind w:left="2160" w:hanging="360"/>
      </w:pPr>
      <w:rPr>
        <w:rFonts w:ascii="Wingdings" w:hAnsi="Wingdings" w:hint="default"/>
      </w:rPr>
    </w:lvl>
    <w:lvl w:ilvl="3" w:tplc="486497B2" w:tentative="1">
      <w:start w:val="1"/>
      <w:numFmt w:val="bullet"/>
      <w:lvlText w:val=""/>
      <w:lvlJc w:val="left"/>
      <w:pPr>
        <w:ind w:left="2880" w:hanging="360"/>
      </w:pPr>
      <w:rPr>
        <w:rFonts w:ascii="Symbol" w:hAnsi="Symbol" w:hint="default"/>
      </w:rPr>
    </w:lvl>
    <w:lvl w:ilvl="4" w:tplc="118A5BE0" w:tentative="1">
      <w:start w:val="1"/>
      <w:numFmt w:val="bullet"/>
      <w:lvlText w:val="o"/>
      <w:lvlJc w:val="left"/>
      <w:pPr>
        <w:ind w:left="3600" w:hanging="360"/>
      </w:pPr>
      <w:rPr>
        <w:rFonts w:ascii="Courier New" w:hAnsi="Courier New" w:cs="Courier New" w:hint="default"/>
      </w:rPr>
    </w:lvl>
    <w:lvl w:ilvl="5" w:tplc="33604F10" w:tentative="1">
      <w:start w:val="1"/>
      <w:numFmt w:val="bullet"/>
      <w:lvlText w:val=""/>
      <w:lvlJc w:val="left"/>
      <w:pPr>
        <w:ind w:left="4320" w:hanging="360"/>
      </w:pPr>
      <w:rPr>
        <w:rFonts w:ascii="Wingdings" w:hAnsi="Wingdings" w:hint="default"/>
      </w:rPr>
    </w:lvl>
    <w:lvl w:ilvl="6" w:tplc="7E5876A4" w:tentative="1">
      <w:start w:val="1"/>
      <w:numFmt w:val="bullet"/>
      <w:lvlText w:val=""/>
      <w:lvlJc w:val="left"/>
      <w:pPr>
        <w:ind w:left="5040" w:hanging="360"/>
      </w:pPr>
      <w:rPr>
        <w:rFonts w:ascii="Symbol" w:hAnsi="Symbol" w:hint="default"/>
      </w:rPr>
    </w:lvl>
    <w:lvl w:ilvl="7" w:tplc="F7AAFF8A" w:tentative="1">
      <w:start w:val="1"/>
      <w:numFmt w:val="bullet"/>
      <w:lvlText w:val="o"/>
      <w:lvlJc w:val="left"/>
      <w:pPr>
        <w:ind w:left="5760" w:hanging="360"/>
      </w:pPr>
      <w:rPr>
        <w:rFonts w:ascii="Courier New" w:hAnsi="Courier New" w:cs="Courier New" w:hint="default"/>
      </w:rPr>
    </w:lvl>
    <w:lvl w:ilvl="8" w:tplc="193C6880" w:tentative="1">
      <w:start w:val="1"/>
      <w:numFmt w:val="bullet"/>
      <w:lvlText w:val=""/>
      <w:lvlJc w:val="left"/>
      <w:pPr>
        <w:ind w:left="6480" w:hanging="360"/>
      </w:pPr>
      <w:rPr>
        <w:rFonts w:ascii="Wingdings" w:hAnsi="Wingdings" w:hint="default"/>
      </w:rPr>
    </w:lvl>
  </w:abstractNum>
  <w:abstractNum w:abstractNumId="4" w15:restartNumberingAfterBreak="0">
    <w:nsid w:val="45785EE1"/>
    <w:multiLevelType w:val="hybridMultilevel"/>
    <w:tmpl w:val="40965090"/>
    <w:lvl w:ilvl="0" w:tplc="868E6952">
      <w:start w:val="1"/>
      <w:numFmt w:val="decimal"/>
      <w:lvlText w:val="%1."/>
      <w:lvlJc w:val="left"/>
      <w:pPr>
        <w:ind w:left="720" w:hanging="360"/>
      </w:pPr>
      <w:rPr>
        <w:rFonts w:hint="default"/>
      </w:rPr>
    </w:lvl>
    <w:lvl w:ilvl="1" w:tplc="E318D2B2" w:tentative="1">
      <w:start w:val="1"/>
      <w:numFmt w:val="lowerLetter"/>
      <w:lvlText w:val="%2."/>
      <w:lvlJc w:val="left"/>
      <w:pPr>
        <w:ind w:left="1440" w:hanging="360"/>
      </w:pPr>
    </w:lvl>
    <w:lvl w:ilvl="2" w:tplc="AEB86214" w:tentative="1">
      <w:start w:val="1"/>
      <w:numFmt w:val="lowerRoman"/>
      <w:lvlText w:val="%3."/>
      <w:lvlJc w:val="right"/>
      <w:pPr>
        <w:ind w:left="2160" w:hanging="180"/>
      </w:pPr>
    </w:lvl>
    <w:lvl w:ilvl="3" w:tplc="F0187956" w:tentative="1">
      <w:start w:val="1"/>
      <w:numFmt w:val="decimal"/>
      <w:lvlText w:val="%4."/>
      <w:lvlJc w:val="left"/>
      <w:pPr>
        <w:ind w:left="2880" w:hanging="360"/>
      </w:pPr>
    </w:lvl>
    <w:lvl w:ilvl="4" w:tplc="4128212C" w:tentative="1">
      <w:start w:val="1"/>
      <w:numFmt w:val="lowerLetter"/>
      <w:lvlText w:val="%5."/>
      <w:lvlJc w:val="left"/>
      <w:pPr>
        <w:ind w:left="3600" w:hanging="360"/>
      </w:pPr>
    </w:lvl>
    <w:lvl w:ilvl="5" w:tplc="ED9ADE04" w:tentative="1">
      <w:start w:val="1"/>
      <w:numFmt w:val="lowerRoman"/>
      <w:lvlText w:val="%6."/>
      <w:lvlJc w:val="right"/>
      <w:pPr>
        <w:ind w:left="4320" w:hanging="180"/>
      </w:pPr>
    </w:lvl>
    <w:lvl w:ilvl="6" w:tplc="F412FDD4" w:tentative="1">
      <w:start w:val="1"/>
      <w:numFmt w:val="decimal"/>
      <w:lvlText w:val="%7."/>
      <w:lvlJc w:val="left"/>
      <w:pPr>
        <w:ind w:left="5040" w:hanging="360"/>
      </w:pPr>
    </w:lvl>
    <w:lvl w:ilvl="7" w:tplc="47C0F8D6" w:tentative="1">
      <w:start w:val="1"/>
      <w:numFmt w:val="lowerLetter"/>
      <w:lvlText w:val="%8."/>
      <w:lvlJc w:val="left"/>
      <w:pPr>
        <w:ind w:left="5760" w:hanging="360"/>
      </w:pPr>
    </w:lvl>
    <w:lvl w:ilvl="8" w:tplc="EF54E9CC" w:tentative="1">
      <w:start w:val="1"/>
      <w:numFmt w:val="lowerRoman"/>
      <w:lvlText w:val="%9."/>
      <w:lvlJc w:val="right"/>
      <w:pPr>
        <w:ind w:left="6480" w:hanging="180"/>
      </w:pPr>
    </w:lvl>
  </w:abstractNum>
  <w:abstractNum w:abstractNumId="5" w15:restartNumberingAfterBreak="0">
    <w:nsid w:val="7F4D1272"/>
    <w:multiLevelType w:val="hybridMultilevel"/>
    <w:tmpl w:val="3F46DC38"/>
    <w:lvl w:ilvl="0" w:tplc="DB8A0092">
      <w:start w:val="1"/>
      <w:numFmt w:val="decimal"/>
      <w:lvlText w:val="%1."/>
      <w:lvlJc w:val="left"/>
      <w:pPr>
        <w:ind w:left="720" w:hanging="360"/>
      </w:pPr>
      <w:rPr>
        <w:rFonts w:hint="default"/>
      </w:rPr>
    </w:lvl>
    <w:lvl w:ilvl="1" w:tplc="2BE8AFA0" w:tentative="1">
      <w:start w:val="1"/>
      <w:numFmt w:val="lowerLetter"/>
      <w:lvlText w:val="%2."/>
      <w:lvlJc w:val="left"/>
      <w:pPr>
        <w:ind w:left="1440" w:hanging="360"/>
      </w:pPr>
    </w:lvl>
    <w:lvl w:ilvl="2" w:tplc="2FECEEF4" w:tentative="1">
      <w:start w:val="1"/>
      <w:numFmt w:val="lowerRoman"/>
      <w:lvlText w:val="%3."/>
      <w:lvlJc w:val="right"/>
      <w:pPr>
        <w:ind w:left="2160" w:hanging="180"/>
      </w:pPr>
    </w:lvl>
    <w:lvl w:ilvl="3" w:tplc="9C8E79D4" w:tentative="1">
      <w:start w:val="1"/>
      <w:numFmt w:val="decimal"/>
      <w:lvlText w:val="%4."/>
      <w:lvlJc w:val="left"/>
      <w:pPr>
        <w:ind w:left="2880" w:hanging="360"/>
      </w:pPr>
    </w:lvl>
    <w:lvl w:ilvl="4" w:tplc="42DA0106" w:tentative="1">
      <w:start w:val="1"/>
      <w:numFmt w:val="lowerLetter"/>
      <w:lvlText w:val="%5."/>
      <w:lvlJc w:val="left"/>
      <w:pPr>
        <w:ind w:left="3600" w:hanging="360"/>
      </w:pPr>
    </w:lvl>
    <w:lvl w:ilvl="5" w:tplc="80DAC9B6" w:tentative="1">
      <w:start w:val="1"/>
      <w:numFmt w:val="lowerRoman"/>
      <w:lvlText w:val="%6."/>
      <w:lvlJc w:val="right"/>
      <w:pPr>
        <w:ind w:left="4320" w:hanging="180"/>
      </w:pPr>
    </w:lvl>
    <w:lvl w:ilvl="6" w:tplc="D966B3C8" w:tentative="1">
      <w:start w:val="1"/>
      <w:numFmt w:val="decimal"/>
      <w:lvlText w:val="%7."/>
      <w:lvlJc w:val="left"/>
      <w:pPr>
        <w:ind w:left="5040" w:hanging="360"/>
      </w:pPr>
    </w:lvl>
    <w:lvl w:ilvl="7" w:tplc="8E2CB5EC" w:tentative="1">
      <w:start w:val="1"/>
      <w:numFmt w:val="lowerLetter"/>
      <w:lvlText w:val="%8."/>
      <w:lvlJc w:val="left"/>
      <w:pPr>
        <w:ind w:left="5760" w:hanging="360"/>
      </w:pPr>
    </w:lvl>
    <w:lvl w:ilvl="8" w:tplc="AF943B92"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7D"/>
    <w:rsid w:val="00CA03F3"/>
    <w:rsid w:val="00E32F7D"/>
    <w:rsid w:val="00FA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CBDE"/>
  <w15:chartTrackingRefBased/>
  <w15:docId w15:val="{5FA8D108-1D03-432D-84D3-000CA81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sz w:val="20"/>
      <w:szCs w:val="20"/>
    </w:rPr>
  </w:style>
  <w:style w:type="character" w:styleId="EndnoteReference">
    <w:name w:val="endnote reference"/>
    <w:basedOn w:val="DefaultParagraphFont"/>
    <w:uiPriority w:val="99"/>
    <w:semiHidden/>
    <w:unhideWhenUsed/>
    <w:rPr>
      <w:rFonts w:cs="Times New Roman"/>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72AE-95C8-4C28-8AFF-E474E989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2350</Words>
  <Characters>13190</Characters>
  <Application>Microsoft Office Word</Application>
  <DocSecurity>4</DocSecurity>
  <Lines>775</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Lihotz</dc:creator>
  <cp:lastModifiedBy>Loris Diaconu</cp:lastModifiedBy>
  <cp:revision>2</cp:revision>
  <cp:lastPrinted>2020-12-23T20:37:00Z</cp:lastPrinted>
  <dcterms:created xsi:type="dcterms:W3CDTF">2020-12-23T20:40:00Z</dcterms:created>
  <dcterms:modified xsi:type="dcterms:W3CDTF">2020-12-23T20:40:00Z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653312</vt:lpwstr>
  </property>
  <property fmtid="{D5CDD505-2E9C-101B-9397-08002B2CF9AE}" pid="3" name="CUS_DocIDChunk0">
    <vt:lpwstr>219931106v1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219931106v1</vt:lpwstr>
  </property>
</Properties>
</file>